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REQUISITOS DE ACCESIBILIDAD</w:t>
      </w:r>
    </w:p>
    <w:p>
      <w:pPr>
        <w:pStyle w:val="ListBullet"/>
      </w:pPr>
      <w:r>
        <w:rPr>
          <w:rFonts w:ascii="Verdana" w:hAnsi="Verdana"/>
          <w:b/>
        </w:rPr>
        <w:t xml:space="preserve">Término: </w:t>
      </w:r>
      <w:r>
        <w:rPr>
          <w:rFonts w:ascii="Verdana" w:hAnsi="Verdana"/>
        </w:rPr>
        <w:t>REQUISITOS DE ACCESIBILIDAD</w:t>
      </w:r>
    </w:p>
    <w:p>
      <w:pPr>
        <w:pStyle w:val="ListBullet"/>
      </w:pPr>
      <w:r>
        <w:rPr>
          <w:rFonts w:ascii="Verdana" w:hAnsi="Verdana"/>
          <w:b/>
        </w:rPr>
        <w:t xml:space="preserve">Área: </w:t>
      </w:r>
      <w:r>
        <w:rPr>
          <w:rFonts w:ascii="Verdana" w:hAnsi="Verdana"/>
        </w:rPr>
        <w:t>ACCESIBILIDAD</w:t>
      </w:r>
    </w:p>
    <w:p>
      <w:pPr>
        <w:pStyle w:val="ListBullet"/>
      </w:pPr>
      <w:r>
        <w:rPr>
          <w:rFonts w:ascii="Verdana" w:hAnsi="Verdana"/>
          <w:b/>
        </w:rPr>
        <w:t xml:space="preserve">Definición: </w:t>
      </w:r>
      <w:r>
        <w:rPr>
          <w:rFonts w:ascii="Verdana" w:hAnsi="Verdana"/>
        </w:rPr>
        <w:t>Condiciones necesarias para garantizar la accesibilidad global de un entorno, servicio o producto, de forma que las distintas dimensiones de la actividad humana puedan ser desarrolladas por cualquier usuario sin que se encuentre con ningún tipo de barreras. Estas actividades, desde la perspectiva de la accesibilidad universal, se resumen en cuatro grandes grupos: Deambulación, Aprehensión, Localización y Comunicación, conocidos como los Requisitos DALCO que recogen distintas normas UNE. El cumplimiento de todos estos requisitos garantiza la accesibilidad global de un entorno, servicio o producto; en caso contrario hay que recurrir a productos de apoyo o adaptaciones.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