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DIDÁCTICA DE LA MÚSICA</w:t>
      </w:r>
    </w:p>
    <w:p>
      <w:pPr>
        <w:pStyle w:val="ListBullet"/>
      </w:pPr>
      <w:r>
        <w:rPr>
          <w:rFonts w:ascii="Verdana" w:hAnsi="Verdana"/>
          <w:b/>
        </w:rPr>
        <w:t xml:space="preserve">Término: </w:t>
      </w:r>
      <w:r>
        <w:rPr>
          <w:rFonts w:ascii="Verdana" w:hAnsi="Verdana"/>
        </w:rPr>
        <w:t>DIDÁCTICA DE LA MÚSICA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Proceso encaminado a la adquisición de los conocimientos que conforman el lenguaje musical. En el caso del alumno con discapacidad visual deberán tenerse en cuenta los recursos habituales utilizados en el aula general, pero para la lectura y escritura musical, los alumnos con ceguera utilizan la Musicografía Braille.</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1411136"/>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1411136"/>
                    </a:xfrm>
                    <a:prstGeom prst="rect"/>
                  </pic:spPr>
                </pic:pic>
              </a:graphicData>
            </a:graphic>
          </wp:inline>
        </w:drawing>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