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INTEGRACIÓN EN LOS RECREOS ESCOLARES</w:t>
      </w:r>
    </w:p>
    <w:p>
      <w:pPr>
        <w:pStyle w:val="ListBullet"/>
      </w:pPr>
      <w:r>
        <w:rPr>
          <w:rFonts w:ascii="Verdana" w:hAnsi="Verdana"/>
          <w:b/>
        </w:rPr>
        <w:t xml:space="preserve">Término: </w:t>
      </w:r>
      <w:r>
        <w:rPr>
          <w:rFonts w:ascii="Verdana" w:hAnsi="Verdana"/>
        </w:rPr>
        <w:t>INTEGRACIÓN EN LOS RECREOS ESCOLARES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Medidas educativas que propician la participación del niño con discapacidad visual en el espacio de recreo del centro escolar al que acude, mejorando el nivel de aprovechamiento de su tiempo libre, la construcción de su identidad, y su inclusión social en el ámbito escolar. Tales medidas incluyen tanto los recursos y modelos de participación de los alumnos con discapacidad visual, y de sus compañeros con los que interactúan, como las adaptaciones y recursos precisos para adecuar el espacio físico de recreo a lo largo de la escolaridad.</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