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TÉCNICAS INSTRUMENTALES BÁSICAS</w:t>
      </w:r>
    </w:p>
    <w:p>
      <w:pPr>
        <w:pStyle w:val="ListBullet"/>
      </w:pPr>
      <w:r>
        <w:rPr>
          <w:rFonts w:ascii="Verdana" w:hAnsi="Verdana"/>
          <w:b/>
        </w:rPr>
        <w:t xml:space="preserve">Término: </w:t>
      </w:r>
      <w:r>
        <w:rPr>
          <w:rFonts w:ascii="Verdana" w:hAnsi="Verdana"/>
        </w:rPr>
        <w:t>TÉCNICAS INSTRUMENTALES BÁSICAS</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Conjunto de conocimientos y destrezas indispensables en lectura, escritura y cálculo, en tinta (en vista) y en braille, que posibilitan la adquisición de nuevos aprendizajes en las diferentes áreas curriculares y el acceso y adiestramiento de los recursos tecnológicos y tiflotécnicos. Esta área es importante porque influye en el desarrollo del resto de áreas. Si un alumno no tiene una velocidad lectora aceptable, difícilmente podrá seguir el ritmo de aprendizaje en otras asignaturas. Es importante garantizar unos niveles adecuados en el dominio de un código lectoescritor (en tinta o en braille), con una velocidad, exactitud y comprensión lectora adecuadas a la edad y nivel educativo.</w:t>
        <w:br/>
        <w:br/>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