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LECTURA EN TINTA/CARACTERES VISUALES</w:t>
      </w:r>
    </w:p>
    <w:p>
      <w:pPr>
        <w:pStyle w:val="ListBullet"/>
      </w:pPr>
      <w:r>
        <w:rPr>
          <w:rFonts w:ascii="Verdana" w:hAnsi="Verdana"/>
          <w:b/>
        </w:rPr>
        <w:t xml:space="preserve">Término: </w:t>
      </w:r>
      <w:r>
        <w:rPr>
          <w:rFonts w:ascii="Verdana" w:hAnsi="Verdana"/>
        </w:rPr>
        <w:t>LECTURA EN TINTA/CARACTERES VISUALES</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Modalidad de lectura que utiliza la visión como medio instrumental para el acceso al texto. Las personas con discapacidad visual tienen que haber desarrollado previamente una serie de habilidades visuales (fijación, seguimiento, cambio de mirada, etc.) para que resulte funcional como medio de lectura. La velocidad de lectura de estas personas es inferior a la de la población sin discapacidad y, para mejorar la funcionalidad de la lectura, se les pueden prescribir, en algunos casos, productos de apoyo ópticos y no ópticos.</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