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ATENCIÓN COMPARTIDA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ATENCIÓN COMPARTIDA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 del niño para llamar la atención de su compañero, dirigirla hacia un tercer elemento, comprobar que el compañero comparte su atención, restablecer el contacto e intercambiar expresiones.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Atención conjunta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Atención compartida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