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CALENDARIO DE ANTICIPACIÓN</w:t>
      </w:r>
    </w:p>
    <w:p>
      <w:pPr>
        <w:pStyle w:val="ListBullet"/>
      </w:pPr>
      <w:r>
        <w:rPr>
          <w:rFonts w:ascii="Verdana" w:hAnsi="Verdana"/>
          <w:b/>
        </w:rPr>
        <w:t xml:space="preserve">Término: </w:t>
      </w:r>
      <w:r>
        <w:rPr>
          <w:rFonts w:ascii="Verdana" w:hAnsi="Verdana"/>
        </w:rPr>
        <w:t>CALENDARIO DE ANTICIPACIÓN</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Herramienta utilizada con el alumnado con sordoceguera cuya finalidad es  ordenar la actividad diaria y proporcionar un marco de referencia que permita familiarizarse con la secuencia temporal y la anticipación de las actividades que se van a realizar a lo largo de la jornada. Se utiliza a la vez como repaso de dichas actividades una vez realizadas todas las actividades previstas. Pueden ser de muchos tipos, en cuanto al soporte (caja con departamentos, estantería con cestas, una mesa con cajitas) en los que se colocan, de forma ordenada, los objetos que van a representar las actividades que se van a realizar. Tales objetos, al principio, son tridimensionales (objetos reales), después simbólicos o, incluso, materiales bidimensionales (como fotos, dibujos, o letras), todo ello, en función del nivel de desarrollo del alumno.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