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SISTEMAS DE COMUNICACIÓN DE PERSONAS CON SORDOCEGUERA</w:t>
      </w:r>
    </w:p>
    <w:p>
      <w:pPr>
        <w:pStyle w:val="ListBullet"/>
      </w:pPr>
      <w:r>
        <w:rPr>
          <w:rFonts w:ascii="Verdana" w:hAnsi="Verdana"/>
          <w:b/>
        </w:rPr>
        <w:t xml:space="preserve">Término: </w:t>
      </w:r>
      <w:r>
        <w:rPr>
          <w:rFonts w:ascii="Verdana" w:hAnsi="Verdana"/>
        </w:rPr>
        <w:t>SISTEMAS DE COMUNICACIÓN DE PERSONAS CON SORDOCEGUERA</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Las personas con sordoceguera pueden comunicarse, dependiendo de sus características, mediante sistemas alfabéticos (dactilología, mayúsculas sobre la palma, el dedo como lápiz), no alfabéticos (lenguaje de gestos naturales, lenguaje de signos), sistemas que utilizan códigos de lectura (tinta, braille, tablillas de comunicación) o sistemas mixtos de comunicación (métodos Dactyls y Bimodal).</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