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ALFABETO MALOSSI</w:t>
      </w:r>
    </w:p>
    <w:p>
      <w:pPr>
        <w:pStyle w:val="ListBullet"/>
      </w:pPr>
      <w:r>
        <w:rPr>
          <w:rFonts w:ascii="Verdana" w:hAnsi="Verdana"/>
          <w:b/>
        </w:rPr>
        <w:t xml:space="preserve">Término: </w:t>
      </w:r>
      <w:r>
        <w:rPr>
          <w:rFonts w:ascii="Verdana" w:hAnsi="Verdana"/>
        </w:rPr>
        <w:t>ALFABETO MALOSSI</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Sistema de comunicación alfabético en el que cada una de las letras del alfabeto se corresponde con un punto de los dedos de la mano de la persona con sordoceguera, sobre los que el interlocutor presiona o pellizca.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