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BRAILLE MANUAL</w:t>
      </w:r>
    </w:p>
    <w:p>
      <w:pPr>
        <w:pStyle w:val="ListBullet"/>
      </w:pPr>
      <w:r>
        <w:rPr>
          <w:rFonts w:ascii="Verdana" w:hAnsi="Verdana"/>
          <w:b/>
        </w:rPr>
        <w:t xml:space="preserve">Término: </w:t>
      </w:r>
      <w:r>
        <w:rPr>
          <w:rFonts w:ascii="Verdana" w:hAnsi="Verdana"/>
        </w:rPr>
        <w:t>BRAILLE MANUAL</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Sistema de comunicación alfabético para personas con sordoceguera, basado en el código de lectoescritura braille. Para su utilización el interlocutor deletrea sobre los dedos de la persona con sordoceguera el mensaje que desea comunicar, mediante pulsaciones que simulan las combinaciones de los caracteres del alfabeto braille. Se ofrecen distintas posibilidades para la transmisión de los mensajes, como por ejemplo sobre las seis falanges de los dos dedos índice y corazón, o sobre los dedos índice, corazón y anular de ambas manos de la persona con sordoceguera, utilizando también el interlocutor las dos manos.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