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DEDO COMO LÁPIZ, EL</w:t>
      </w:r>
    </w:p>
    <w:p>
      <w:pPr>
        <w:pStyle w:val="ListBullet"/>
      </w:pPr>
      <w:r>
        <w:rPr>
          <w:rFonts w:ascii="Verdana" w:hAnsi="Verdana"/>
          <w:b/>
        </w:rPr>
        <w:t xml:space="preserve">Término: </w:t>
      </w:r>
      <w:r>
        <w:rPr>
          <w:rFonts w:ascii="Verdana" w:hAnsi="Verdana"/>
        </w:rPr>
        <w:t>DEDO COMO LÁPIZ, EL</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Sistema de comunicación alfabético en el que el interlocutor toma el dedo índice de la persona con sordoceguera y escribe con él como si fuera un lápiz. Se puede escribir en el aire, soble la palma de la mano de la persona con sordoceguera, sobre la palma de la mano del interlocutor o sobre una superficie. La diferencia con respecto a las mayúsculas en la palma de la mano, es que este sistema del dedo como lápiz aporta más información a la persona con sordoceguera, puesto que además de percibir la forma de las letras, percibe los datos que le dan los movimientos de su mano (sentido propioceptivo).</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