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ESCRITURA EN LETRAS MAYÚSCULAS</w:t>
      </w:r>
    </w:p>
    <w:p>
      <w:pPr>
        <w:pStyle w:val="ListBullet"/>
      </w:pPr>
      <w:r>
        <w:rPr>
          <w:rFonts w:ascii="Verdana" w:hAnsi="Verdana"/>
          <w:b/>
        </w:rPr>
        <w:t xml:space="preserve">Término: </w:t>
      </w:r>
      <w:r>
        <w:rPr>
          <w:rFonts w:ascii="Verdana" w:hAnsi="Verdana"/>
        </w:rPr>
        <w:t>ESCRITURA EN LETRAS MAYÚSCULAS</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Sistema alfabético, de uso para personas con sordoceguera, en el que el interlocutor escribe con su dedo índice sobre el centro de la palma de la mano de la persona con sordoceguera en letras mayúsculas de imprenta. Se utiliza la estructura de la lengua oral, como si se estuviera escribiendo con el alfabeto ordinario.</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