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SISTEMA DACTILOLÓGICO</w:t>
      </w:r>
    </w:p>
    <w:p>
      <w:pPr>
        <w:pStyle w:val="ListBullet"/>
      </w:pPr>
      <w:r>
        <w:rPr>
          <w:rFonts w:ascii="Verdana" w:hAnsi="Verdana"/>
          <w:b/>
        </w:rPr>
        <w:t xml:space="preserve">Término: </w:t>
      </w:r>
      <w:r>
        <w:rPr>
          <w:rFonts w:ascii="Verdana" w:hAnsi="Verdana"/>
        </w:rPr>
        <w:t>SISTEMA DACTILOLÓGICO</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Sistema de comunicación alfabético en el que cada letra se corresponde con una configuración de la mano y de los dedos. En España, según el resto de visión de la persona con sordoceguera, el interlocutor lo realiza en el aire o en la palma, posibilitando un reconocimiento visual, visual-táctil o táctil de las letras. En la versión táctil, el emisor apoya una de sus manos en la palma de la mano de la persona con sordoceguera realizando las diferentes configuraciones. En este caso las letras sufren algunas modificaciones respecto a la configuración visual.</w:t>
      </w:r>
    </w:p>
    <w:p>
      <w:pPr>
        <w:pStyle w:val="ListBullet"/>
      </w:pPr>
      <w:r>
        <w:rPr>
          <w:rFonts w:ascii="Verdana" w:hAnsi="Verdana"/>
          <w:b/>
        </w:rPr>
        <w:t xml:space="preserve">Sinónimos: </w:t>
      </w:r>
      <w:r>
        <w:rPr>
          <w:rFonts w:ascii="Verdana" w:hAnsi="Verdana"/>
        </w:rPr>
        <w:t>Alfabeto manual</w:t>
      </w:r>
    </w:p>
    <w:p>
      <w:pPr>
        <w:pStyle w:val="ListBullet"/>
      </w:pPr>
      <w:r>
        <w:rPr>
          <w:rFonts w:ascii="Verdana" w:hAnsi="Verdana"/>
          <w:b/>
        </w:rPr>
        <w:t xml:space="preserve">Use: </w:t>
      </w:r>
      <w:r>
        <w:rPr>
          <w:rFonts w:ascii="Verdana" w:hAnsi="Verdana"/>
        </w:rPr>
        <w:t>Sistema dactilológico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