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LENGUAJE DE SIGNOS NATURALES</w:t>
      </w:r>
    </w:p>
    <w:p>
      <w:pPr>
        <w:pStyle w:val="ListBullet"/>
      </w:pPr>
      <w:r>
        <w:rPr>
          <w:rFonts w:ascii="Verdana" w:hAnsi="Verdana"/>
          <w:b/>
        </w:rPr>
        <w:t xml:space="preserve">Término: </w:t>
      </w:r>
      <w:r>
        <w:rPr>
          <w:rFonts w:ascii="Verdana" w:hAnsi="Verdana"/>
        </w:rPr>
        <w:t>LENGUAJE DE SIGNOS NATURALES</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Conjunto de signos espontáneos que expresan globalmente una necesidad, un deseo, y que sólo son comprendidos por las personas más próximas al entorno de la persona con sordoceguera. Suele ser la primera forma de abordar la comunicación con un niño con sordoceguera congénita.</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