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HIPOACUSIA NEUROSENSORIAL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HIPOACUSIA NEUROSENSORIAL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Deficiencia auditiva que se produce como consecuencia de una atrofia o degeneración de los órganos del oído interno (cóclea, nervio auditivo o área receptiva cerebral). Pueden ser de dos tipos: 1- Hipoacusia neurosensorial retrococlear (tipo de hipoacusia que se produce cuando la causa o lesión se encuentra en el nervio auditivo o en la corteza cerebral), y 2- Hipoacusia neurosensorial coclear, también llamada Hipoacusia de percepción o deficiencia auditiva neurosensorial (tipo de hipoacusia que se produce cuando la causa o lesión se encuentra en el órgano de Corti).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Hipoacusia perceptiva o de percepción.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Hipoacusia neurosensorial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