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DEFICIENCIA AUDITIVA</w:t>
      </w:r>
    </w:p>
    <w:p>
      <w:pPr>
        <w:pStyle w:val="ListBullet"/>
      </w:pPr>
      <w:r>
        <w:rPr>
          <w:rFonts w:ascii="Verdana" w:hAnsi="Verdana"/>
          <w:b/>
        </w:rPr>
        <w:t xml:space="preserve">Término: </w:t>
      </w:r>
      <w:r>
        <w:rPr>
          <w:rFonts w:ascii="Verdana" w:hAnsi="Verdana"/>
        </w:rPr>
        <w:t>DEFICIENCIA AUDITIVA</w:t>
      </w:r>
    </w:p>
    <w:p>
      <w:pPr>
        <w:pStyle w:val="ListBullet"/>
      </w:pPr>
      <w:r>
        <w:rPr>
          <w:rFonts w:ascii="Verdana" w:hAnsi="Verdana"/>
          <w:b/>
        </w:rPr>
        <w:t xml:space="preserve">Área: </w:t>
      </w:r>
      <w:r>
        <w:rPr>
          <w:rFonts w:ascii="Verdana" w:hAnsi="Verdana"/>
        </w:rPr>
        <w:t>SORDOCEGUERA</w:t>
      </w:r>
    </w:p>
    <w:p>
      <w:pPr>
        <w:pStyle w:val="ListBullet"/>
      </w:pPr>
      <w:r>
        <w:rPr>
          <w:rFonts w:ascii="Verdana" w:hAnsi="Verdana"/>
          <w:b/>
        </w:rPr>
        <w:t xml:space="preserve">Definición: </w:t>
      </w:r>
      <w:r>
        <w:rPr>
          <w:rFonts w:ascii="Verdana" w:hAnsi="Verdana"/>
        </w:rPr>
        <w:t>Pérdida o disminución de la audición, medida en decibelios, en las cuatro frecuencia en las que habitualmente se desarrolla la comunicación humana. Las pérdidas en dB califican la deficiencia de la audición en leve (pérdida entre 21 y 40 dB), moderada (entre 41 y 70 dB), severa (entre 71 y 90 dB), profunda (pérdida entre 91 y 120 dB) y total o cofosis (superior a 120 dB).</w:t>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