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capacidad que resulta de la combinación de la limitación en las funciones visual y auditva, en un grado tal que la persona afectada tiene dificultades para la comunicación, la percepción global, el acceso a la información, la movilidad y, por tanto, para conocer, interesarse y desenvolverse en el entorno. Por ello, las personas con sordoceguera precisan soluciones para poderse comunicar, desenvolver en su contexto y llevar una vida independiente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