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ESTRATEGIAS DE COMUNICACIÓN EXPRESIVA</w:t>
      </w:r>
    </w:p>
    <w:p>
      <w:pPr>
        <w:pStyle w:val="ListBullet"/>
      </w:pPr>
      <w:r>
        <w:rPr>
          <w:rFonts w:ascii="Verdana" w:hAnsi="Verdana"/>
          <w:b/>
        </w:rPr>
        <w:t xml:space="preserve">Término: </w:t>
      </w:r>
      <w:r>
        <w:rPr>
          <w:rFonts w:ascii="Verdana" w:hAnsi="Verdana"/>
        </w:rPr>
        <w:t>ESTRATEGIAS DE COMUNICACIÓN EXPRESIVA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Conjunto de habilidades y recursos que utilizan las personas con sordoceguera para hacerse entender y dirigir la actuación de sus interlocutores, considerando  la dificultad que pueden tener para comprender la respuesta incluso cuando comparten el mismo sistema de comunicación que su interlocutor. Pueden basarse en el habla, la escritura o deletreo de distintas formas, los gestos, o los mensajes preparados con antelación.</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