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FUNCIONALIDAD VISUAL</w:t>
      </w:r>
    </w:p>
    <w:p>
      <w:pPr>
        <w:pStyle w:val="ListBullet"/>
      </w:pPr>
      <w:r>
        <w:rPr>
          <w:rFonts w:ascii="Verdana" w:hAnsi="Verdana"/>
          <w:b/>
        </w:rPr>
        <w:t xml:space="preserve">Término: </w:t>
      </w:r>
      <w:r>
        <w:rPr>
          <w:rFonts w:ascii="Verdana" w:hAnsi="Verdana"/>
        </w:rPr>
        <w:t>FUNCIONALIDAD VISUAL</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Habilidad que tiene una persona para utilizar su visión en el entorno habitual. Las variables que determinan la funcionalidad visual son, entre otras, los parámetros objetivos de valoración de la función visual; el estado de salud general de la persona; la motivación, necesidades e intereses; y el desarrollo cognitivo.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