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VISIÓN MONOCULAR</w:t>
      </w:r>
    </w:p>
    <w:p>
      <w:pPr>
        <w:pStyle w:val="ListBullet"/>
      </w:pPr>
      <w:r>
        <w:rPr>
          <w:rFonts w:ascii="Verdana" w:hAnsi="Verdana"/>
          <w:b/>
        </w:rPr>
        <w:t xml:space="preserve">Término: </w:t>
      </w:r>
      <w:r>
        <w:rPr>
          <w:rFonts w:ascii="Verdana" w:hAnsi="Verdana"/>
        </w:rPr>
        <w:t>VISIÓN MONOCULAR</w:t>
      </w:r>
    </w:p>
    <w:p>
      <w:pPr>
        <w:pStyle w:val="ListBullet"/>
      </w:pPr>
      <w:r>
        <w:rPr>
          <w:rFonts w:ascii="Verdana" w:hAnsi="Verdana"/>
          <w:b/>
        </w:rPr>
        <w:t xml:space="preserve">Área: </w:t>
      </w:r>
      <w:r>
        <w:rPr>
          <w:rFonts w:ascii="Verdana" w:hAnsi="Verdana"/>
        </w:rPr>
        <w:t>VISIÓN</w:t>
      </w:r>
    </w:p>
    <w:p>
      <w:pPr>
        <w:pStyle w:val="ListBullet"/>
      </w:pPr>
      <w:r>
        <w:rPr>
          <w:rFonts w:ascii="Verdana" w:hAnsi="Verdana"/>
          <w:b/>
        </w:rPr>
        <w:t xml:space="preserve">Definición: </w:t>
      </w:r>
      <w:r>
        <w:rPr>
          <w:rFonts w:ascii="Verdana" w:hAnsi="Verdana"/>
        </w:rPr>
        <w:t>Uso de un solo ojo para la visión. Las causas de la pérdida de visión en el ojo disfuncional pueden ser variadas, desde enucleación por retinoblastoma, ambliopía, lesión del nervio óptico, etc. Si la agudeza visual en el mejor ojo es normal, la única disminución de visión funcional que se produce es la de percepción de profundidad. Las personas que son monoculares no ven en dos dimensiones, por lo que en distancias de cerca tienen que basarse en la experiencia y en el conocimiento que tienen del entorno, y de otras informaciones sobre el espacio (por ej. objetos superpuestos, alturas, etc.).</w:t>
      </w:r>
    </w:p>
    <w:p>
      <w:pPr>
        <w:pStyle w:val="ListBullet"/>
      </w:pPr>
      <w:r>
        <w:rPr>
          <w:rFonts w:ascii="Verdana" w:hAnsi="Verdana"/>
          <w:b/>
        </w:rPr>
        <w:t xml:space="preserve">Sinónimos: </w:t>
      </w:r>
      <w:r>
        <w:rPr>
          <w:rFonts w:ascii="Verdana" w:hAnsi="Verdana"/>
        </w:rPr>
        <w:t>Monocularidad</w:t>
      </w:r>
    </w:p>
    <w:p>
      <w:pPr>
        <w:pStyle w:val="ListBullet"/>
      </w:pPr>
      <w:r>
        <w:rPr>
          <w:rFonts w:ascii="Verdana" w:hAnsi="Verdana"/>
          <w:b/>
        </w:rPr>
        <w:t xml:space="preserve">Use: </w:t>
      </w:r>
      <w:r>
        <w:rPr>
          <w:rFonts w:ascii="Verdana" w:hAnsi="Verdana"/>
        </w:rPr>
        <w:t>Visión monocular</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