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AGRUPACIÓN VISUAL</w:t>
      </w:r>
    </w:p>
    <w:p>
      <w:pPr>
        <w:pStyle w:val="ListBullet"/>
      </w:pPr>
      <w:r>
        <w:rPr>
          <w:rFonts w:ascii="Verdana" w:hAnsi="Verdana"/>
          <w:b/>
        </w:rPr>
        <w:t xml:space="preserve">Término: </w:t>
      </w:r>
      <w:r>
        <w:rPr>
          <w:rFonts w:ascii="Verdana" w:hAnsi="Verdana"/>
        </w:rPr>
        <w:t>AGRUPACIÓN VISUAL</w:t>
      </w:r>
    </w:p>
    <w:p>
      <w:pPr>
        <w:pStyle w:val="ListBullet"/>
      </w:pPr>
      <w:r>
        <w:rPr>
          <w:rFonts w:ascii="Verdana" w:hAnsi="Verdana"/>
          <w:b/>
        </w:rPr>
        <w:t xml:space="preserve">Área: </w:t>
      </w:r>
      <w:r>
        <w:rPr>
          <w:rFonts w:ascii="Verdana" w:hAnsi="Verdana"/>
        </w:rPr>
        <w:t>VISIÓN</w:t>
      </w:r>
    </w:p>
    <w:p>
      <w:pPr>
        <w:pStyle w:val="ListBullet"/>
      </w:pPr>
      <w:r>
        <w:rPr>
          <w:rFonts w:ascii="Verdana" w:hAnsi="Verdana"/>
          <w:b/>
        </w:rPr>
        <w:t xml:space="preserve">Definición: </w:t>
      </w:r>
      <w:r>
        <w:rPr>
          <w:rFonts w:ascii="Verdana" w:hAnsi="Verdana"/>
        </w:rPr>
        <w:t>Habilidad de la percepción visual que permite el reconocimiento de un objeto aun cuando no cuente con los detalles visuales  que lo definen. Habilidad perceptiva que se desarrolla en el sujeto entre los 2 y los 7 años de edad.</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