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AGRUPACIÓN VISUAL</w:t>
      </w:r>
    </w:p>
    <w:p>
      <w:pPr>
        <w:pStyle w:val="ListBullet"/>
      </w:pPr>
      <w:r>
        <w:rPr>
          <w:rFonts w:ascii="Verdana" w:hAnsi="Verdana"/>
          <w:b/>
        </w:rPr>
        <w:t xml:space="preserve">Término: </w:t>
      </w:r>
      <w:r>
        <w:rPr>
          <w:rFonts w:ascii="Verdana" w:hAnsi="Verdana"/>
        </w:rPr>
        <w:t>AGRUPACIÓN VISUAL</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Habilidad de la percepción visual que permite el reconocimiento de un objeto aun cuando no cuente con los detalles visuales  que lo definen. Habilidad perceptiva que se desarrolla en el sujeto entre los 2 y los 7 años de edad.</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