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HABILIDADES PERCEPTIVAS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HABILIDADES PERCEPTIVAS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Conjunto de destrezas sensoriales que una persona con discapacidad visual debe desarrollar para conocer el entorno y realizar tareas cotidianas.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