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PERSONA CON DEFICIENCIA VISUAL</w:t>
      </w:r>
    </w:p>
    <w:p>
      <w:pPr>
        <w:pStyle w:val="ListBullet"/>
      </w:pPr>
      <w:r>
        <w:rPr>
          <w:rFonts w:ascii="Verdana" w:hAnsi="Verdana"/>
          <w:b/>
        </w:rPr>
        <w:t xml:space="preserve">Término: </w:t>
      </w:r>
      <w:r>
        <w:rPr>
          <w:rFonts w:ascii="Verdana" w:hAnsi="Verdana"/>
        </w:rPr>
        <w:t>PERSONA CON DEFICIENCIA VISUAL</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Sujeto con una alteración de visión importante en diferentes grados (desde una agudeza visual de 0,3 hasta la no percepción de luz) que le dificulta, cuando no imposibilita, su capacidad para la realización autónoma de actividades de la vida cotidiana.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