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Apuntes sobre rehabilitación visual</w:t>
      </w:r>
    </w:p>
    <w:p>
      <w:pPr>
        <w:pStyle w:val="ListBullet"/>
      </w:pPr>
      <w:r>
        <w:rPr>
          <w:rFonts w:ascii="Verdana" w:hAnsi="Verdana"/>
          <w:b/>
        </w:rPr>
        <w:t xml:space="preserve">Autor: </w:t>
      </w:r>
      <w:r>
        <w:rPr>
          <w:rFonts w:ascii="Verdana" w:hAnsi="Verdana"/>
        </w:rPr>
        <w:t>VILA LÓPEZ, José Miguel dir. y col.</w:t>
      </w:r>
    </w:p>
    <w:p>
      <w:pPr>
        <w:pStyle w:val="ListBullet"/>
      </w:pPr>
      <w:r>
        <w:rPr>
          <w:rFonts w:ascii="Verdana" w:hAnsi="Verdana"/>
          <w:b/>
        </w:rPr>
        <w:t xml:space="preserve">Publicación: </w:t>
      </w:r>
      <w:r>
        <w:rPr>
          <w:rFonts w:ascii="Verdana" w:hAnsi="Verdana"/>
        </w:rPr>
        <w:t>Madrid : Organización Nacional de Ciegos Españoles, Sección de Acción Social e Integración Laboral., D.L. 1994</w:t>
      </w:r>
    </w:p>
    <w:p>
      <w:pPr>
        <w:pStyle w:val="ListBullet"/>
      </w:pPr>
      <w:r>
        <w:rPr>
          <w:rFonts w:ascii="Verdana" w:hAnsi="Verdana"/>
          <w:b/>
        </w:rPr>
        <w:t xml:space="preserve">Resumen: </w:t>
      </w:r>
      <w:r>
        <w:rPr>
          <w:rFonts w:ascii="Verdana" w:hAnsi="Verdana"/>
        </w:rPr>
        <w:t>Texto básico de consulta, de carácter eminentemente práctico, para la formación de especialistas en baja visión, elaborado por técnicos de tres Centro de Rehabilitación Visual de la ONCE. Los temas tratados son: El servicio de rehabilitación visual en la ONCE, intervención del trabajo social en rehabilitación visual, oftalmología, óptica y optometría, y el entrenamiento en baja visión.</w:t>
      </w:r>
    </w:p>
    <w:p>
      <w:pPr>
        <w:pStyle w:val="ListBullet"/>
      </w:pPr>
      <w:r>
        <w:rPr>
          <w:rFonts w:ascii="Verdana" w:hAnsi="Verdana"/>
          <w:b/>
        </w:rPr>
        <w:t xml:space="preserve">Área: </w:t>
      </w:r>
      <w:r/>
      <w:r>
        <w:rPr>
          <w:rFonts w:ascii="Verdana" w:hAnsi="Verdana"/>
        </w:rPr>
        <w:t>Rehabilitación</w:t>
      </w:r>
    </w:p>
    <w:p>
      <w:pPr>
        <w:pStyle w:val="ListBullet"/>
      </w:pPr>
      <w:r>
        <w:rPr>
          <w:rFonts w:ascii="Verdana" w:hAnsi="Verdana"/>
          <w:b/>
        </w:rPr>
        <w:t xml:space="preserve">Subárea: </w:t>
      </w:r>
      <w:r>
        <w:rPr>
          <w:rFonts w:ascii="Verdana" w:hAnsi="Verdana"/>
        </w:rPr>
        <w:t>Rehabilitación visual</w:t>
      </w:r>
    </w:p>
    <w:p>
      <w:pPr>
        <w:pStyle w:val="ListBullet"/>
      </w:pPr>
      <w:r>
        <w:rPr>
          <w:rFonts w:ascii="Verdana" w:hAnsi="Verdana"/>
          <w:b/>
        </w:rPr>
        <w:t xml:space="preserve">Materias: </w:t>
      </w:r>
      <w:r>
        <w:rPr>
          <w:rFonts w:ascii="Verdana" w:hAnsi="Verdana"/>
        </w:rPr>
        <w:t xml:space="preserve"> Rehabilitación; Rehabilitación visual; Oftalmología; Óptica; Optometría; Estimulación visual; Evaluación visual</w:t>
      </w:r>
    </w:p>
    <w:p>
      <w:pPr>
        <w:pStyle w:val="ListBullet"/>
      </w:pPr>
      <w:r>
        <w:rPr>
          <w:rFonts w:ascii="Verdana" w:hAnsi="Verdana"/>
          <w:b/>
        </w:rPr>
        <w:t xml:space="preserve">Edición: </w:t>
      </w:r>
      <w:r>
        <w:rPr>
          <w:rFonts w:ascii="Verdana" w:hAnsi="Verdana"/>
        </w:rPr>
        <w:t>AGOTADA</w:t>
      </w:r>
    </w:p>
    <w:p>
      <w:pPr>
        <w:pStyle w:val="ListBullet"/>
      </w:pPr>
      <w:r>
        <w:rPr>
          <w:rFonts w:ascii="Verdana" w:hAnsi="Verdana"/>
          <w:b/>
        </w:rPr>
        <w:t xml:space="preserve">Colección: </w:t>
      </w:r>
      <w:r>
        <w:rPr>
          <w:rFonts w:ascii="Verdana" w:hAnsi="Verdana"/>
        </w:rPr>
        <w:t>SS guías</w:t>
      </w:r>
    </w:p>
    <w:p>
      <w:pPr>
        <w:pStyle w:val="ListBullet"/>
      </w:pPr>
      <w:r>
        <w:rPr>
          <w:rFonts w:ascii="Verdana" w:hAnsi="Verdana"/>
          <w:b/>
        </w:rPr>
        <w:t xml:space="preserve">Lengua: </w:t>
      </w:r>
      <w:r>
        <w:rPr>
          <w:rFonts w:ascii="Verdana" w:hAnsi="Verdana"/>
        </w:rPr>
        <w:t>Español</w:t>
      </w:r>
    </w:p>
    <w:p>
      <w:pPr>
        <w:pStyle w:val="ListBullet"/>
      </w:pPr>
      <w:r>
        <w:rPr>
          <w:rFonts w:ascii="Verdana" w:hAnsi="Verdana"/>
          <w:b/>
        </w:rPr>
        <w:t xml:space="preserve">Año de publicación: </w:t>
      </w:r>
      <w:r>
        <w:rPr>
          <w:rFonts w:ascii="Verdana" w:hAnsi="Verdana"/>
        </w:rPr>
        <w:t>1994</w:t>
      </w:r>
    </w:p>
    <w:p>
      <w:pPr>
        <w:pStyle w:val="ListBullet"/>
      </w:pPr>
      <w:r>
        <w:rPr>
          <w:rFonts w:ascii="Verdana" w:hAnsi="Verdana"/>
          <w:b/>
        </w:rPr>
        <w:t xml:space="preserve">ISBN: </w:t>
      </w:r>
      <w:r>
        <w:rPr>
          <w:rFonts w:ascii="Verdana" w:hAnsi="Verdana"/>
        </w:rPr>
        <w:t xml:space="preserve"> 84-87277-45-4</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2617582"/>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2617582"/>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