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Desafíos didácticos de la lectura braille</w:t>
      </w:r>
    </w:p>
    <w:p>
      <w:pPr>
        <w:pStyle w:val="ListBullet"/>
      </w:pPr>
      <w:r>
        <w:rPr>
          <w:rFonts w:ascii="Verdana" w:hAnsi="Verdana"/>
          <w:b/>
        </w:rPr>
        <w:t xml:space="preserve">Autor: </w:t>
      </w:r>
      <w:r>
        <w:rPr>
          <w:rFonts w:ascii="Verdana" w:hAnsi="Verdana"/>
        </w:rPr>
        <w:t>FERNÁNDEZ DEL CAMPO SÁNCHEZ , José Enrique</w:t>
      </w:r>
    </w:p>
    <w:p>
      <w:pPr>
        <w:pStyle w:val="ListBullet"/>
      </w:pPr>
      <w:r>
        <w:rPr>
          <w:rFonts w:ascii="Verdana" w:hAnsi="Verdana"/>
          <w:b/>
        </w:rPr>
        <w:t xml:space="preserve">Publicación: </w:t>
      </w:r>
      <w:r>
        <w:rPr>
          <w:rFonts w:ascii="Verdana" w:hAnsi="Verdana"/>
        </w:rPr>
        <w:t>Madrid : Organización Nacional de Ciegos Españoles, Dirección de Educación 2001</w:t>
      </w:r>
    </w:p>
    <w:p>
      <w:pPr>
        <w:pStyle w:val="ListBullet"/>
      </w:pPr>
      <w:r>
        <w:rPr>
          <w:rFonts w:ascii="Verdana" w:hAnsi="Verdana"/>
          <w:b/>
        </w:rPr>
        <w:t xml:space="preserve">Resumen: </w:t>
      </w:r>
      <w:r>
        <w:rPr>
          <w:rFonts w:ascii="Verdana" w:hAnsi="Verdana"/>
        </w:rPr>
        <w:t>Esta investigación parte de dos consideraciones previas: la baja velocidad lectora que, en general, presentan los lectores de braille en comparación con los de tinta, y la existencia de casos particulares que desdicen cualquier relación causa-efecto entre código y velocidad. El autor nos ofrece un completo estudio de los modelos perceptivos que conforman las técnicas de lectura braille, junto con una concepción realmente alternativa de los procesos lectores en braille, corroborada por la práctica, así como una excelente guía metodológica y una didáctica de iniciación y desarrollo de las destrezas lectoras.</w:t>
      </w:r>
    </w:p>
    <w:p>
      <w:pPr>
        <w:pStyle w:val="ListBullet"/>
      </w:pPr>
      <w:r>
        <w:rPr>
          <w:rFonts w:ascii="Verdana" w:hAnsi="Verdana"/>
          <w:b/>
        </w:rPr>
        <w:t xml:space="preserve">Área: </w:t>
      </w:r>
      <w:r/>
      <w:r>
        <w:rPr>
          <w:rFonts w:ascii="Verdana" w:hAnsi="Verdana"/>
        </w:rPr>
        <w:t>Educación</w:t>
      </w:r>
    </w:p>
    <w:p>
      <w:pPr>
        <w:pStyle w:val="ListBullet"/>
      </w:pPr>
      <w:r>
        <w:rPr>
          <w:rFonts w:ascii="Verdana" w:hAnsi="Verdana"/>
          <w:b/>
        </w:rPr>
        <w:t xml:space="preserve">Subárea: </w:t>
      </w:r>
      <w:r>
        <w:rPr>
          <w:rFonts w:ascii="Verdana" w:hAnsi="Verdana"/>
        </w:rPr>
        <w:t>Técnicas instrumentales</w:t>
      </w:r>
    </w:p>
    <w:p>
      <w:pPr>
        <w:pStyle w:val="ListBullet"/>
      </w:pPr>
      <w:r>
        <w:rPr>
          <w:rFonts w:ascii="Verdana" w:hAnsi="Verdana"/>
          <w:b/>
        </w:rPr>
        <w:t xml:space="preserve">Materias: </w:t>
      </w:r>
      <w:r>
        <w:rPr>
          <w:rFonts w:ascii="Verdana" w:hAnsi="Verdana"/>
        </w:rPr>
        <w:t xml:space="preserve"> Educación; Técnicas instrumentales; Lectura braille; Competencia lectora; Velocidad lectora; Método enseñanza; Percepción háptica</w:t>
      </w:r>
    </w:p>
    <w:p>
      <w:pPr>
        <w:pStyle w:val="ListBullet"/>
      </w:pPr>
      <w:r>
        <w:rPr>
          <w:rFonts w:ascii="Verdana" w:hAnsi="Verdana"/>
          <w:b/>
        </w:rPr>
        <w:t xml:space="preserve">Edición: </w:t>
      </w:r>
      <w:r>
        <w:rPr>
          <w:rFonts w:ascii="Verdana" w:hAnsi="Verdana"/>
        </w:rPr>
        <w:t>1ª ed</w:t>
      </w:r>
    </w:p>
    <w:p>
      <w:pPr>
        <w:pStyle w:val="ListBullet"/>
      </w:pPr>
      <w:r>
        <w:rPr>
          <w:rFonts w:ascii="Verdana" w:hAnsi="Verdana"/>
          <w:b/>
        </w:rPr>
        <w:t xml:space="preserve">Colección: </w:t>
      </w:r>
      <w:r>
        <w:rPr>
          <w:rFonts w:ascii="Verdana" w:hAnsi="Verdana"/>
        </w:rPr>
        <w:t>SS manuales</w:t>
      </w:r>
    </w:p>
    <w:p>
      <w:pPr>
        <w:pStyle w:val="ListBullet"/>
      </w:pPr>
      <w:r>
        <w:rPr>
          <w:rFonts w:ascii="Verdana" w:hAnsi="Verdana"/>
          <w:b/>
        </w:rPr>
        <w:t xml:space="preserve">Lengua: </w:t>
      </w:r>
      <w:r>
        <w:rPr>
          <w:rFonts w:ascii="Verdana" w:hAnsi="Verdana"/>
        </w:rPr>
        <w:t>Español</w:t>
      </w:r>
    </w:p>
    <w:p>
      <w:pPr>
        <w:pStyle w:val="ListBullet"/>
      </w:pPr>
      <w:r>
        <w:rPr>
          <w:rFonts w:ascii="Verdana" w:hAnsi="Verdana"/>
          <w:b/>
        </w:rPr>
        <w:t xml:space="preserve">Año de publicación: </w:t>
      </w:r>
      <w:r>
        <w:rPr>
          <w:rFonts w:ascii="Verdana" w:hAnsi="Verdana"/>
        </w:rPr>
        <w:t>2001</w:t>
      </w:r>
    </w:p>
    <w:p>
      <w:pPr>
        <w:pStyle w:val="ListBullet"/>
      </w:pPr>
      <w:r>
        <w:rPr>
          <w:rFonts w:ascii="Verdana" w:hAnsi="Verdana"/>
          <w:b/>
        </w:rPr>
        <w:t xml:space="preserve">ISBN: </w:t>
      </w:r>
      <w:r>
        <w:rPr>
          <w:rFonts w:ascii="Verdana" w:hAnsi="Verdana"/>
        </w:rPr>
        <w:t>84-484-0241-3</w:t>
      </w:r>
    </w:p>
    <w:p>
      <w:pPr>
        <w:pStyle w:val="ListBullet"/>
      </w:pPr>
      <w:r>
        <w:rPr>
          <w:rFonts w:ascii="Verdana" w:hAnsi="Verdana"/>
          <w:b/>
        </w:rPr>
        <w:t xml:space="preserve">Imagen: </w:t>
      </w:r>
    </w:p>
    <w:p>
      <w:pPr>
        <w:jc w:val="left"/>
      </w:pPr>
      <w:r>
        <w:drawing>
          <wp:inline xmlns:a="http://schemas.openxmlformats.org/drawingml/2006/main" xmlns:pic="http://schemas.openxmlformats.org/drawingml/2006/picture">
            <wp:extent cx="1828800" cy="2706279"/>
            <wp:docPr id="1" name="Picture 1"/>
            <wp:cNvGraphicFramePr>
              <a:graphicFrameLocks noChangeAspect="1"/>
            </wp:cNvGraphicFramePr>
            <a:graphic>
              <a:graphicData uri="http://schemas.openxmlformats.org/drawingml/2006/picture">
                <pic:pic>
                  <pic:nvPicPr>
                    <pic:cNvPr id="0" name="image.jpg"/>
                    <pic:cNvPicPr/>
                  </pic:nvPicPr>
                  <pic:blipFill>
                    <a:blip r:embed="rId9"/>
                    <a:stretch>
                      <a:fillRect/>
                    </a:stretch>
                  </pic:blipFill>
                  <pic:spPr>
                    <a:xfrm>
                      <a:off x="0" y="0"/>
                      <a:ext cx="1828800" cy="2706279"/>
                    </a:xfrm>
                    <a:prstGeom prst="rect"/>
                  </pic:spPr>
                </pic:pic>
              </a:graphicData>
            </a:graphic>
          </wp:inline>
        </w:drawing>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