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1A3" w:rsidRPr="0070655A" w:rsidRDefault="00C951A3" w:rsidP="0070655A">
      <w:pPr>
        <w:widowControl w:val="0"/>
        <w:tabs>
          <w:tab w:val="left" w:pos="1701"/>
        </w:tabs>
        <w:jc w:val="both"/>
        <w:rPr>
          <w:sz w:val="24"/>
          <w:szCs w:val="24"/>
          <w:lang w:val="es-ES"/>
        </w:rPr>
      </w:pPr>
    </w:p>
    <w:p w:rsidR="00197A47" w:rsidRPr="0070655A" w:rsidRDefault="00B049D4" w:rsidP="0070655A">
      <w:pPr>
        <w:widowControl w:val="0"/>
        <w:tabs>
          <w:tab w:val="left" w:pos="1701"/>
        </w:tabs>
        <w:jc w:val="center"/>
        <w:rPr>
          <w:b/>
          <w:sz w:val="24"/>
          <w:szCs w:val="24"/>
          <w:u w:val="single"/>
        </w:rPr>
      </w:pPr>
      <w:r w:rsidRPr="0070655A">
        <w:rPr>
          <w:b/>
          <w:sz w:val="24"/>
          <w:szCs w:val="24"/>
          <w:u w:val="single"/>
        </w:rPr>
        <w:t>ANEXO</w:t>
      </w:r>
      <w:r w:rsidR="00E73C69" w:rsidRPr="0070655A">
        <w:rPr>
          <w:b/>
          <w:sz w:val="24"/>
          <w:szCs w:val="24"/>
          <w:u w:val="single"/>
        </w:rPr>
        <w:t xml:space="preserve"> AL ACUERDO </w:t>
      </w:r>
      <w:r w:rsidR="007248E6" w:rsidRPr="0070655A">
        <w:rPr>
          <w:b/>
          <w:sz w:val="24"/>
          <w:szCs w:val="24"/>
          <w:u w:val="single"/>
        </w:rPr>
        <w:t>9/2015-</w:t>
      </w:r>
      <w:r w:rsidR="00C7034D" w:rsidRPr="0070655A">
        <w:rPr>
          <w:b/>
          <w:sz w:val="24"/>
          <w:szCs w:val="24"/>
          <w:u w:val="single"/>
        </w:rPr>
        <w:t>1.</w:t>
      </w:r>
      <w:r w:rsidR="0070655A">
        <w:rPr>
          <w:b/>
          <w:sz w:val="24"/>
          <w:szCs w:val="24"/>
          <w:u w:val="single"/>
        </w:rPr>
        <w:t>8</w:t>
      </w:r>
      <w:r w:rsidR="007248E6" w:rsidRPr="0070655A">
        <w:rPr>
          <w:b/>
          <w:sz w:val="24"/>
          <w:szCs w:val="24"/>
          <w:u w:val="single"/>
        </w:rPr>
        <w:t>, de 17</w:t>
      </w:r>
      <w:r w:rsidR="00DE6ED0" w:rsidRPr="0070655A">
        <w:rPr>
          <w:b/>
          <w:sz w:val="24"/>
          <w:szCs w:val="24"/>
          <w:u w:val="single"/>
        </w:rPr>
        <w:t xml:space="preserve"> de diciembre</w:t>
      </w:r>
    </w:p>
    <w:p w:rsidR="00197A47" w:rsidRPr="0070655A" w:rsidRDefault="00197A47" w:rsidP="0070655A">
      <w:pPr>
        <w:widowControl w:val="0"/>
        <w:tabs>
          <w:tab w:val="left" w:pos="1701"/>
        </w:tabs>
        <w:jc w:val="both"/>
        <w:rPr>
          <w:sz w:val="24"/>
          <w:szCs w:val="24"/>
          <w:lang w:val="es-ES"/>
        </w:rPr>
      </w:pPr>
    </w:p>
    <w:p w:rsidR="00AA11C9" w:rsidRPr="0070655A" w:rsidRDefault="00AA11C9" w:rsidP="0070655A">
      <w:pPr>
        <w:widowControl w:val="0"/>
        <w:tabs>
          <w:tab w:val="left" w:pos="1701"/>
        </w:tabs>
        <w:jc w:val="both"/>
        <w:rPr>
          <w:sz w:val="24"/>
          <w:szCs w:val="24"/>
          <w:lang w:val="es-ES"/>
        </w:rPr>
      </w:pPr>
    </w:p>
    <w:p w:rsidR="00581314" w:rsidRPr="0070655A" w:rsidRDefault="00581314" w:rsidP="0070655A">
      <w:pPr>
        <w:widowControl w:val="0"/>
        <w:pBdr>
          <w:top w:val="single" w:sz="4" w:space="1" w:color="auto"/>
          <w:left w:val="single" w:sz="4" w:space="4" w:color="auto"/>
          <w:bottom w:val="single" w:sz="4" w:space="1" w:color="auto"/>
          <w:right w:val="single" w:sz="4" w:space="4" w:color="auto"/>
        </w:pBdr>
        <w:jc w:val="center"/>
        <w:rPr>
          <w:b/>
          <w:sz w:val="24"/>
          <w:szCs w:val="24"/>
        </w:rPr>
      </w:pPr>
      <w:r w:rsidRPr="0070655A">
        <w:rPr>
          <w:b/>
          <w:sz w:val="24"/>
          <w:szCs w:val="24"/>
        </w:rPr>
        <w:t>INICIATIVA DE LA ONCE PARA EL RECONOCIMIENTO DEL SISTEMA BRAILLE</w:t>
      </w:r>
      <w:r w:rsidR="0070655A">
        <w:rPr>
          <w:b/>
          <w:sz w:val="24"/>
          <w:szCs w:val="24"/>
        </w:rPr>
        <w:t xml:space="preserve"> </w:t>
      </w:r>
      <w:r w:rsidRPr="0070655A">
        <w:rPr>
          <w:b/>
          <w:sz w:val="24"/>
          <w:szCs w:val="24"/>
        </w:rPr>
        <w:t>COMO CÓDIGO OFICIAL DE LECTOESCRITURA EN LA UNIÓN EUROPEA Y SUS ESTADOS MIEMBROS</w:t>
      </w:r>
    </w:p>
    <w:p w:rsidR="00581314" w:rsidRPr="0070655A" w:rsidRDefault="00581314" w:rsidP="0070655A">
      <w:pPr>
        <w:widowControl w:val="0"/>
        <w:tabs>
          <w:tab w:val="left" w:pos="1701"/>
        </w:tabs>
        <w:jc w:val="both"/>
        <w:rPr>
          <w:sz w:val="24"/>
          <w:szCs w:val="24"/>
          <w:lang w:val="es-ES"/>
        </w:rPr>
      </w:pPr>
    </w:p>
    <w:p w:rsidR="00581314" w:rsidRPr="0070655A" w:rsidRDefault="00581314" w:rsidP="0070655A">
      <w:pPr>
        <w:widowControl w:val="0"/>
        <w:tabs>
          <w:tab w:val="left" w:pos="1701"/>
        </w:tabs>
        <w:jc w:val="both"/>
        <w:rPr>
          <w:sz w:val="24"/>
          <w:szCs w:val="24"/>
          <w:lang w:val="es-ES"/>
        </w:rPr>
      </w:pPr>
    </w:p>
    <w:p w:rsidR="00581314" w:rsidRPr="0070655A" w:rsidRDefault="00581314" w:rsidP="0070655A">
      <w:pPr>
        <w:widowControl w:val="0"/>
        <w:jc w:val="both"/>
        <w:rPr>
          <w:b/>
          <w:sz w:val="24"/>
          <w:szCs w:val="24"/>
        </w:rPr>
      </w:pPr>
      <w:r w:rsidRPr="0070655A">
        <w:rPr>
          <w:b/>
          <w:sz w:val="24"/>
          <w:szCs w:val="24"/>
        </w:rPr>
        <w:t>ANTECEDENTES</w:t>
      </w:r>
    </w:p>
    <w:p w:rsidR="00581314" w:rsidRPr="0070655A" w:rsidRDefault="00581314" w:rsidP="0070655A">
      <w:pPr>
        <w:widowControl w:val="0"/>
        <w:jc w:val="both"/>
        <w:rPr>
          <w:sz w:val="24"/>
          <w:szCs w:val="24"/>
        </w:rPr>
      </w:pPr>
    </w:p>
    <w:p w:rsidR="00581314" w:rsidRPr="0070655A" w:rsidRDefault="00581314" w:rsidP="0070655A">
      <w:pPr>
        <w:widowControl w:val="0"/>
        <w:jc w:val="both"/>
        <w:rPr>
          <w:sz w:val="24"/>
          <w:szCs w:val="24"/>
        </w:rPr>
      </w:pPr>
      <w:r w:rsidRPr="0070655A">
        <w:rPr>
          <w:sz w:val="24"/>
          <w:szCs w:val="24"/>
        </w:rPr>
        <w:t>Aunque existe normativa nacional y europea que considera la señalización en braille como prerrequisito para garantizar el acceso a la información de todas las personas ciegas (como la relativa al etiquetado de medicamentos, alimentos o productos peligrosos, el voto en braille o la identificación de servicios de transporte), en la actualidad ningún país ha reconocido de forma oficial el Sistema Braille como código de lectoescritura para personas ciegas.</w:t>
      </w:r>
    </w:p>
    <w:p w:rsidR="00581314" w:rsidRPr="0070655A" w:rsidRDefault="00581314" w:rsidP="0070655A">
      <w:pPr>
        <w:widowControl w:val="0"/>
        <w:jc w:val="both"/>
        <w:rPr>
          <w:sz w:val="24"/>
          <w:szCs w:val="24"/>
        </w:rPr>
      </w:pPr>
    </w:p>
    <w:p w:rsidR="00581314" w:rsidRPr="0070655A" w:rsidRDefault="00581314" w:rsidP="0070655A">
      <w:pPr>
        <w:widowControl w:val="0"/>
        <w:jc w:val="both"/>
        <w:rPr>
          <w:sz w:val="24"/>
          <w:szCs w:val="24"/>
        </w:rPr>
      </w:pPr>
      <w:r w:rsidRPr="0070655A">
        <w:rPr>
          <w:sz w:val="24"/>
          <w:szCs w:val="24"/>
        </w:rPr>
        <w:t>Tras la entrada en vigor de la Convención de Naciones Unidas sobre los Derechos de las Personas con Discapacidad, se cuenta con un instrumento jurídicamente vinculante a los Estados Partes para hacer valer este sistema como código oficial de los mismos, según se recoge explícitamente en diferentes partes de su articulado.</w:t>
      </w:r>
    </w:p>
    <w:p w:rsidR="00581314" w:rsidRPr="0070655A" w:rsidRDefault="00581314" w:rsidP="0070655A">
      <w:pPr>
        <w:widowControl w:val="0"/>
        <w:jc w:val="both"/>
        <w:rPr>
          <w:sz w:val="24"/>
          <w:szCs w:val="24"/>
        </w:rPr>
      </w:pPr>
    </w:p>
    <w:p w:rsidR="00581314" w:rsidRPr="0070655A" w:rsidRDefault="00581314" w:rsidP="0070655A">
      <w:pPr>
        <w:widowControl w:val="0"/>
        <w:jc w:val="both"/>
        <w:rPr>
          <w:sz w:val="24"/>
          <w:szCs w:val="24"/>
        </w:rPr>
      </w:pPr>
      <w:r w:rsidRPr="0070655A">
        <w:rPr>
          <w:sz w:val="24"/>
          <w:szCs w:val="24"/>
        </w:rPr>
        <w:t xml:space="preserve">Así, en su artículo 2, </w:t>
      </w:r>
      <w:r w:rsidRPr="0070655A">
        <w:rPr>
          <w:i/>
          <w:iCs/>
          <w:sz w:val="24"/>
          <w:szCs w:val="24"/>
        </w:rPr>
        <w:t>Definiciones,</w:t>
      </w:r>
      <w:r w:rsidRPr="0070655A">
        <w:rPr>
          <w:sz w:val="24"/>
          <w:szCs w:val="24"/>
        </w:rPr>
        <w:t xml:space="preserve"> el Braille es considerado como una forma de comunicación. En el 9, </w:t>
      </w:r>
      <w:r w:rsidRPr="0070655A">
        <w:rPr>
          <w:i/>
          <w:iCs/>
          <w:sz w:val="24"/>
          <w:szCs w:val="24"/>
        </w:rPr>
        <w:t>Accesibilidad</w:t>
      </w:r>
      <w:r w:rsidRPr="0070655A">
        <w:rPr>
          <w:sz w:val="24"/>
          <w:szCs w:val="24"/>
        </w:rPr>
        <w:t xml:space="preserve">, los Estados Partes se comprometen a dotar a los edificios y otras instalaciones abiertas al público señalización en braille. en el artículo 21, </w:t>
      </w:r>
      <w:r w:rsidRPr="0070655A">
        <w:rPr>
          <w:i/>
          <w:iCs/>
          <w:sz w:val="24"/>
          <w:szCs w:val="24"/>
        </w:rPr>
        <w:t>Libertad de expresión y de opinión y acceso a la información</w:t>
      </w:r>
      <w:r w:rsidRPr="0070655A">
        <w:rPr>
          <w:sz w:val="24"/>
          <w:szCs w:val="24"/>
        </w:rPr>
        <w:t xml:space="preserve">, los Estados deben facilitar a las personas con discapacidad información en braille dirigida al público en general, de manera oportuna y sin costo adicional; aceptar y facilitar la utilización del Braille en sus relaciones oficiales, y alentar a las entidades privadas que prestan servicios al público en general a que proporcionen información y servicios en braille. Y, finalmente, en el artículo 24, </w:t>
      </w:r>
      <w:r w:rsidRPr="0070655A">
        <w:rPr>
          <w:i/>
          <w:iCs/>
          <w:sz w:val="24"/>
          <w:szCs w:val="24"/>
        </w:rPr>
        <w:t>Educación</w:t>
      </w:r>
      <w:r w:rsidRPr="0070655A">
        <w:rPr>
          <w:sz w:val="24"/>
          <w:szCs w:val="24"/>
        </w:rPr>
        <w:t>, se debe Facilitar el aprendizaje del Braille.</w:t>
      </w:r>
    </w:p>
    <w:p w:rsidR="00581314" w:rsidRPr="0070655A" w:rsidRDefault="00581314" w:rsidP="0070655A">
      <w:pPr>
        <w:widowControl w:val="0"/>
        <w:jc w:val="both"/>
        <w:rPr>
          <w:sz w:val="24"/>
          <w:szCs w:val="24"/>
        </w:rPr>
      </w:pPr>
    </w:p>
    <w:p w:rsidR="00581314" w:rsidRPr="0070655A" w:rsidRDefault="00581314" w:rsidP="0070655A">
      <w:pPr>
        <w:widowControl w:val="0"/>
        <w:jc w:val="both"/>
        <w:rPr>
          <w:sz w:val="24"/>
          <w:szCs w:val="24"/>
        </w:rPr>
      </w:pPr>
      <w:r w:rsidRPr="0070655A">
        <w:rPr>
          <w:sz w:val="24"/>
          <w:szCs w:val="24"/>
        </w:rPr>
        <w:t>Complementariamente a estas menciones específicas, los artículos 29</w:t>
      </w:r>
      <w:r w:rsidRPr="0070655A">
        <w:rPr>
          <w:i/>
          <w:iCs/>
          <w:sz w:val="24"/>
          <w:szCs w:val="24"/>
        </w:rPr>
        <w:t>, Participación en la vida política y pública,</w:t>
      </w:r>
      <w:r w:rsidRPr="0070655A">
        <w:rPr>
          <w:sz w:val="24"/>
          <w:szCs w:val="24"/>
        </w:rPr>
        <w:t xml:space="preserve"> y 30, </w:t>
      </w:r>
      <w:r w:rsidRPr="0070655A">
        <w:rPr>
          <w:i/>
          <w:iCs/>
          <w:sz w:val="24"/>
          <w:szCs w:val="24"/>
        </w:rPr>
        <w:t>Participación en la vida cultural, las actividades recreativas, el esparcimiento y el deporte,</w:t>
      </w:r>
      <w:r w:rsidRPr="0070655A">
        <w:rPr>
          <w:sz w:val="24"/>
          <w:szCs w:val="24"/>
        </w:rPr>
        <w:t xml:space="preserve"> la alusión al braille se encuentra recogida en la garantía de que los materiales electorales y culturales estén disponibles en formatos accesibles.</w:t>
      </w:r>
    </w:p>
    <w:p w:rsidR="00581314" w:rsidRPr="0070655A" w:rsidRDefault="00581314" w:rsidP="0070655A">
      <w:pPr>
        <w:widowControl w:val="0"/>
        <w:jc w:val="both"/>
        <w:rPr>
          <w:sz w:val="24"/>
          <w:szCs w:val="24"/>
        </w:rPr>
      </w:pPr>
    </w:p>
    <w:p w:rsidR="00581314" w:rsidRPr="0070655A" w:rsidRDefault="00581314" w:rsidP="0070655A">
      <w:pPr>
        <w:widowControl w:val="0"/>
        <w:jc w:val="both"/>
        <w:rPr>
          <w:sz w:val="24"/>
          <w:szCs w:val="24"/>
        </w:rPr>
      </w:pPr>
      <w:r w:rsidRPr="0070655A">
        <w:rPr>
          <w:sz w:val="24"/>
          <w:szCs w:val="24"/>
        </w:rPr>
        <w:t>Entre las Observaciones Finales que el Comité de Naciones Unidas le hizo a la Unión Europea tras el diálogo mantenido durante su 14º periodo de sesiones, se encuentra el reconocimiento del Sistema Braille como código oficial de lectoescritura para la Unión Europea y sus Estados Miembros, lo que va a ser objeto de seguimiento y revisión en los próximos años, no sólo por los órganos competentes para los mecanismos de seguimiento establecidos bajo el artículo 33 de la CRPD, sino también de la sociedad civil organizada, y más específicamente, de las organizaciones representativas de los intereses de las personas ciegas en particular, entre las que la ONCE cuenta con un importante liderazgo.</w:t>
      </w:r>
    </w:p>
    <w:p w:rsidR="00581314" w:rsidRPr="0070655A" w:rsidRDefault="00581314" w:rsidP="0070655A">
      <w:pPr>
        <w:widowControl w:val="0"/>
        <w:jc w:val="both"/>
        <w:rPr>
          <w:sz w:val="24"/>
          <w:szCs w:val="24"/>
        </w:rPr>
      </w:pPr>
    </w:p>
    <w:p w:rsidR="00581314" w:rsidRPr="0070655A" w:rsidRDefault="00581314" w:rsidP="0070655A">
      <w:pPr>
        <w:widowControl w:val="0"/>
        <w:jc w:val="both"/>
        <w:rPr>
          <w:sz w:val="24"/>
          <w:szCs w:val="24"/>
        </w:rPr>
      </w:pPr>
    </w:p>
    <w:p w:rsidR="00581314" w:rsidRPr="0070655A" w:rsidRDefault="00581314" w:rsidP="0070655A">
      <w:pPr>
        <w:widowControl w:val="0"/>
        <w:jc w:val="both"/>
        <w:rPr>
          <w:sz w:val="24"/>
          <w:szCs w:val="24"/>
        </w:rPr>
      </w:pPr>
    </w:p>
    <w:p w:rsidR="00581314" w:rsidRPr="0070655A" w:rsidRDefault="00581314" w:rsidP="0070655A">
      <w:pPr>
        <w:widowControl w:val="0"/>
        <w:jc w:val="both"/>
        <w:rPr>
          <w:b/>
          <w:sz w:val="24"/>
          <w:szCs w:val="24"/>
        </w:rPr>
      </w:pPr>
      <w:r w:rsidRPr="0070655A">
        <w:rPr>
          <w:b/>
          <w:sz w:val="24"/>
          <w:szCs w:val="24"/>
        </w:rPr>
        <w:t>LA DEFENSA DEL BRAILLE COMO MARCA INSTITUCIONAL</w:t>
      </w:r>
    </w:p>
    <w:p w:rsidR="00581314" w:rsidRPr="0070655A" w:rsidRDefault="00581314" w:rsidP="0070655A">
      <w:pPr>
        <w:widowControl w:val="0"/>
        <w:jc w:val="both"/>
        <w:rPr>
          <w:sz w:val="24"/>
          <w:szCs w:val="24"/>
        </w:rPr>
      </w:pPr>
    </w:p>
    <w:p w:rsidR="00581314" w:rsidRPr="0070655A" w:rsidRDefault="00581314" w:rsidP="0070655A">
      <w:pPr>
        <w:widowControl w:val="0"/>
        <w:jc w:val="both"/>
        <w:rPr>
          <w:sz w:val="24"/>
          <w:szCs w:val="24"/>
        </w:rPr>
      </w:pPr>
      <w:r w:rsidRPr="0070655A">
        <w:rPr>
          <w:sz w:val="24"/>
          <w:szCs w:val="24"/>
        </w:rPr>
        <w:t>El liderazgo que la ONCE desarrolla en la defensa de los intereses de las personas ciegas es una de las señas fundamentales de la marca institucional de nuestra organización en España, en Europa, en América Latina e, incluso, en otras partes del mundo. Nuestro modelo de inclusión en la educación, formación y acceso al mercado de trabajo han servido como inspiración a otras tantas instituciones y plataformas internacionales del ámbito no sólo de la ceguera, sino también de la discapacidad y de lo social en general.</w:t>
      </w:r>
    </w:p>
    <w:p w:rsidR="00581314" w:rsidRPr="0070655A" w:rsidRDefault="00581314" w:rsidP="0070655A">
      <w:pPr>
        <w:widowControl w:val="0"/>
        <w:jc w:val="both"/>
        <w:rPr>
          <w:sz w:val="24"/>
          <w:szCs w:val="24"/>
        </w:rPr>
      </w:pPr>
    </w:p>
    <w:p w:rsidR="00581314" w:rsidRPr="0070655A" w:rsidRDefault="00581314" w:rsidP="0070655A">
      <w:pPr>
        <w:widowControl w:val="0"/>
        <w:jc w:val="both"/>
        <w:rPr>
          <w:sz w:val="24"/>
          <w:szCs w:val="24"/>
        </w:rPr>
      </w:pPr>
      <w:r w:rsidRPr="0070655A">
        <w:rPr>
          <w:sz w:val="24"/>
          <w:szCs w:val="24"/>
        </w:rPr>
        <w:t>El braille también ha sido objeto de nuestro compromiso y defensa públicos en la igualdad de oportunidades y no discriminación en el acceso a la información de las personas ciegas; especialmente, en lo relativo a su regulación (a través de la Comisión Braille Española, del Consejo Iberoamericano del Braille y del Consejo Mundial del Braille), su producción (especialmente de materiales didácticos y bibliográficos), de la señalización (de ascensores, cajeros electrónicos, etc.) y servicios específicos (como el del voto en braille), sin que hasta la fecha se haya conseguido un compromiso firme al respecto por parte de las administraciones públicas.</w:t>
      </w:r>
    </w:p>
    <w:p w:rsidR="00581314" w:rsidRPr="0070655A" w:rsidRDefault="00581314" w:rsidP="0070655A">
      <w:pPr>
        <w:widowControl w:val="0"/>
        <w:jc w:val="both"/>
        <w:rPr>
          <w:sz w:val="24"/>
          <w:szCs w:val="24"/>
        </w:rPr>
      </w:pPr>
    </w:p>
    <w:p w:rsidR="00581314" w:rsidRPr="0070655A" w:rsidRDefault="00581314" w:rsidP="0070655A">
      <w:pPr>
        <w:widowControl w:val="0"/>
        <w:jc w:val="both"/>
        <w:rPr>
          <w:sz w:val="24"/>
          <w:szCs w:val="24"/>
        </w:rPr>
      </w:pPr>
    </w:p>
    <w:p w:rsidR="00581314" w:rsidRPr="0070655A" w:rsidRDefault="00581314" w:rsidP="0070655A">
      <w:pPr>
        <w:widowControl w:val="0"/>
        <w:jc w:val="both"/>
        <w:rPr>
          <w:b/>
          <w:sz w:val="24"/>
          <w:szCs w:val="24"/>
        </w:rPr>
      </w:pPr>
      <w:r w:rsidRPr="0070655A">
        <w:rPr>
          <w:b/>
          <w:sz w:val="24"/>
          <w:szCs w:val="24"/>
        </w:rPr>
        <w:t>POR QUÉ LA INICIATIVA DEL RECONOCIMIENTO DEL BRAILLE COMO CÓDIGO OFICIAL DE LECTOESCRITURA EN LA UNIÓN EUROPEA Y EN SUS ESTADOS MIEMBROS</w:t>
      </w:r>
    </w:p>
    <w:p w:rsidR="00581314" w:rsidRPr="0070655A" w:rsidRDefault="00581314" w:rsidP="0070655A">
      <w:pPr>
        <w:widowControl w:val="0"/>
        <w:jc w:val="both"/>
        <w:rPr>
          <w:sz w:val="24"/>
          <w:szCs w:val="24"/>
        </w:rPr>
      </w:pPr>
    </w:p>
    <w:p w:rsidR="00581314" w:rsidRPr="0070655A" w:rsidRDefault="00581314" w:rsidP="0070655A">
      <w:pPr>
        <w:widowControl w:val="0"/>
        <w:jc w:val="both"/>
        <w:rPr>
          <w:sz w:val="24"/>
          <w:szCs w:val="24"/>
        </w:rPr>
      </w:pPr>
      <w:r w:rsidRPr="0070655A">
        <w:rPr>
          <w:sz w:val="24"/>
          <w:szCs w:val="24"/>
        </w:rPr>
        <w:t>Entre las razones que pueden justificar sacar adelante una iniciativa como ésta por la ONCE se encuentran las siguientes:</w:t>
      </w:r>
    </w:p>
    <w:p w:rsidR="00581314" w:rsidRPr="0070655A" w:rsidRDefault="00581314" w:rsidP="0070655A">
      <w:pPr>
        <w:widowControl w:val="0"/>
        <w:jc w:val="both"/>
        <w:rPr>
          <w:sz w:val="24"/>
          <w:szCs w:val="24"/>
        </w:rPr>
      </w:pPr>
    </w:p>
    <w:p w:rsidR="00581314" w:rsidRPr="0070655A" w:rsidRDefault="0070655A" w:rsidP="0070655A">
      <w:pPr>
        <w:widowControl w:val="0"/>
        <w:tabs>
          <w:tab w:val="left" w:pos="426"/>
        </w:tabs>
        <w:ind w:left="426" w:hanging="426"/>
        <w:jc w:val="both"/>
        <w:rPr>
          <w:sz w:val="24"/>
          <w:szCs w:val="24"/>
        </w:rPr>
      </w:pPr>
      <w:r>
        <w:rPr>
          <w:sz w:val="24"/>
          <w:szCs w:val="24"/>
        </w:rPr>
        <w:t>1.</w:t>
      </w:r>
      <w:r>
        <w:rPr>
          <w:sz w:val="24"/>
          <w:szCs w:val="24"/>
        </w:rPr>
        <w:tab/>
      </w:r>
      <w:r w:rsidR="00581314" w:rsidRPr="0070655A">
        <w:rPr>
          <w:sz w:val="24"/>
          <w:szCs w:val="24"/>
        </w:rPr>
        <w:t>Contar con la experticia y capacidad de influencia para hacerlo.</w:t>
      </w:r>
    </w:p>
    <w:p w:rsidR="00581314" w:rsidRPr="0070655A" w:rsidRDefault="00581314" w:rsidP="0070655A">
      <w:pPr>
        <w:widowControl w:val="0"/>
        <w:tabs>
          <w:tab w:val="left" w:pos="426"/>
        </w:tabs>
        <w:ind w:left="426" w:hanging="426"/>
        <w:jc w:val="both"/>
        <w:rPr>
          <w:sz w:val="24"/>
          <w:szCs w:val="24"/>
        </w:rPr>
      </w:pPr>
    </w:p>
    <w:p w:rsidR="00581314" w:rsidRPr="0070655A" w:rsidRDefault="0070655A" w:rsidP="0070655A">
      <w:pPr>
        <w:widowControl w:val="0"/>
        <w:tabs>
          <w:tab w:val="left" w:pos="426"/>
        </w:tabs>
        <w:ind w:left="426" w:hanging="426"/>
        <w:jc w:val="both"/>
        <w:rPr>
          <w:sz w:val="24"/>
          <w:szCs w:val="24"/>
        </w:rPr>
      </w:pPr>
      <w:r>
        <w:rPr>
          <w:sz w:val="24"/>
          <w:szCs w:val="24"/>
        </w:rPr>
        <w:t>2.</w:t>
      </w:r>
      <w:r>
        <w:rPr>
          <w:sz w:val="24"/>
          <w:szCs w:val="24"/>
        </w:rPr>
        <w:tab/>
      </w:r>
      <w:r w:rsidR="00581314" w:rsidRPr="0070655A">
        <w:rPr>
          <w:sz w:val="24"/>
          <w:szCs w:val="24"/>
        </w:rPr>
        <w:t>Poner en valor la defensa de uno de los derechos básicos del ser humano, el acceso a la información, tan limitado para la mayoría de las personas ciegas no alfabetizadas.</w:t>
      </w:r>
    </w:p>
    <w:p w:rsidR="00581314" w:rsidRPr="0070655A" w:rsidRDefault="00581314" w:rsidP="0070655A">
      <w:pPr>
        <w:widowControl w:val="0"/>
        <w:jc w:val="both"/>
        <w:rPr>
          <w:sz w:val="24"/>
          <w:szCs w:val="24"/>
        </w:rPr>
      </w:pPr>
    </w:p>
    <w:p w:rsidR="00581314" w:rsidRPr="0070655A" w:rsidRDefault="00581314" w:rsidP="0070655A">
      <w:pPr>
        <w:widowControl w:val="0"/>
        <w:jc w:val="both"/>
        <w:rPr>
          <w:sz w:val="24"/>
          <w:szCs w:val="24"/>
        </w:rPr>
      </w:pPr>
    </w:p>
    <w:p w:rsidR="00581314" w:rsidRPr="0070655A" w:rsidRDefault="00581314" w:rsidP="0070655A">
      <w:pPr>
        <w:widowControl w:val="0"/>
        <w:jc w:val="both"/>
        <w:rPr>
          <w:b/>
          <w:sz w:val="24"/>
          <w:szCs w:val="24"/>
        </w:rPr>
      </w:pPr>
      <w:r w:rsidRPr="0070655A">
        <w:rPr>
          <w:b/>
          <w:sz w:val="24"/>
          <w:szCs w:val="24"/>
        </w:rPr>
        <w:t>ASPECTOS METODOLÓGICOS</w:t>
      </w:r>
    </w:p>
    <w:p w:rsidR="00581314" w:rsidRPr="0070655A" w:rsidRDefault="00581314" w:rsidP="0070655A">
      <w:pPr>
        <w:widowControl w:val="0"/>
        <w:jc w:val="both"/>
        <w:rPr>
          <w:sz w:val="24"/>
          <w:szCs w:val="24"/>
        </w:rPr>
      </w:pPr>
    </w:p>
    <w:p w:rsidR="00581314" w:rsidRPr="0070655A" w:rsidRDefault="00581314" w:rsidP="0070655A">
      <w:pPr>
        <w:widowControl w:val="0"/>
        <w:jc w:val="both"/>
        <w:rPr>
          <w:sz w:val="24"/>
          <w:szCs w:val="24"/>
        </w:rPr>
      </w:pPr>
      <w:r w:rsidRPr="0070655A">
        <w:rPr>
          <w:sz w:val="24"/>
          <w:szCs w:val="24"/>
        </w:rPr>
        <w:t xml:space="preserve">Para llevar a cabo esta defensa, desde la ONCE se puede lanzar una campaña activa en nuestras redes y página web, al tiempo que promover diferentes resoluciones para que el Parlamento Europeo la acepte. Dedicar un cupón a esta causa e incorporar este mensaje en alguna de las campañas publicitarias pueden ser valores añadidos para nuestro trabajo y reconocimiento social. </w:t>
      </w:r>
    </w:p>
    <w:p w:rsidR="00581314" w:rsidRPr="0070655A" w:rsidRDefault="00581314" w:rsidP="0070655A">
      <w:pPr>
        <w:widowControl w:val="0"/>
        <w:jc w:val="both"/>
        <w:rPr>
          <w:sz w:val="24"/>
          <w:szCs w:val="24"/>
        </w:rPr>
      </w:pPr>
    </w:p>
    <w:p w:rsidR="00C7034D" w:rsidRPr="0070655A" w:rsidRDefault="00FE1011" w:rsidP="0070655A">
      <w:pPr>
        <w:widowControl w:val="0"/>
        <w:tabs>
          <w:tab w:val="left" w:pos="1701"/>
        </w:tabs>
        <w:jc w:val="center"/>
        <w:rPr>
          <w:sz w:val="24"/>
          <w:szCs w:val="24"/>
        </w:rPr>
      </w:pPr>
      <w:r w:rsidRPr="0070655A">
        <w:rPr>
          <w:b/>
          <w:sz w:val="24"/>
          <w:szCs w:val="24"/>
        </w:rPr>
        <w:t>* * * * * * * * *</w:t>
      </w:r>
    </w:p>
    <w:sectPr w:rsidR="00C7034D" w:rsidRPr="0070655A" w:rsidSect="00906117">
      <w:headerReference w:type="default" r:id="rId8"/>
      <w:type w:val="oddPage"/>
      <w:pgSz w:w="11906" w:h="16838" w:code="9"/>
      <w:pgMar w:top="2552" w:right="1134" w:bottom="993" w:left="1701" w:header="141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FA5" w:rsidRDefault="00AD6FA5" w:rsidP="00A2386D">
      <w:r>
        <w:separator/>
      </w:r>
    </w:p>
  </w:endnote>
  <w:endnote w:type="continuationSeparator" w:id="0">
    <w:p w:rsidR="00AD6FA5" w:rsidRDefault="00AD6FA5" w:rsidP="00A23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FA5" w:rsidRDefault="00AD6FA5" w:rsidP="00A2386D">
      <w:r>
        <w:separator/>
      </w:r>
    </w:p>
  </w:footnote>
  <w:footnote w:type="continuationSeparator" w:id="0">
    <w:p w:rsidR="00AD6FA5" w:rsidRDefault="00AD6FA5" w:rsidP="00A238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9069760"/>
      <w:docPartObj>
        <w:docPartGallery w:val="Page Numbers (Top of Page)"/>
        <w:docPartUnique/>
      </w:docPartObj>
    </w:sdtPr>
    <w:sdtContent>
      <w:p w:rsidR="00AD6FA5" w:rsidRPr="00197A47" w:rsidRDefault="005C4181">
        <w:pPr>
          <w:pStyle w:val="Encabezado"/>
          <w:jc w:val="right"/>
          <w:rPr>
            <w:sz w:val="24"/>
            <w:szCs w:val="24"/>
          </w:rPr>
        </w:pPr>
        <w:r w:rsidRPr="00197A47">
          <w:rPr>
            <w:sz w:val="24"/>
            <w:szCs w:val="24"/>
          </w:rPr>
          <w:fldChar w:fldCharType="begin"/>
        </w:r>
        <w:r w:rsidR="00AD6FA5" w:rsidRPr="00197A47">
          <w:rPr>
            <w:sz w:val="24"/>
            <w:szCs w:val="24"/>
          </w:rPr>
          <w:instrText xml:space="preserve"> PAGE   \* MERGEFORMAT </w:instrText>
        </w:r>
        <w:r w:rsidRPr="00197A47">
          <w:rPr>
            <w:sz w:val="24"/>
            <w:szCs w:val="24"/>
          </w:rPr>
          <w:fldChar w:fldCharType="separate"/>
        </w:r>
        <w:r w:rsidR="00CB0044">
          <w:rPr>
            <w:noProof/>
            <w:sz w:val="24"/>
            <w:szCs w:val="24"/>
          </w:rPr>
          <w:t>2</w:t>
        </w:r>
        <w:r w:rsidRPr="00197A47">
          <w:rPr>
            <w:sz w:val="24"/>
            <w:szCs w:val="24"/>
          </w:rPr>
          <w:fldChar w:fldCharType="end"/>
        </w:r>
        <w:r w:rsidR="00AD6FA5" w:rsidRPr="00197A47">
          <w:rPr>
            <w:sz w:val="24"/>
            <w:szCs w:val="24"/>
          </w:rPr>
          <w:t>.-</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D2D6D"/>
    <w:multiLevelType w:val="hybridMultilevel"/>
    <w:tmpl w:val="E33AA3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775139B"/>
    <w:multiLevelType w:val="hybridMultilevel"/>
    <w:tmpl w:val="8B72380C"/>
    <w:lvl w:ilvl="0" w:tplc="8F3EDAE4">
      <w:start w:val="1"/>
      <w:numFmt w:val="bullet"/>
      <w:lvlText w:val="•"/>
      <w:lvlJc w:val="left"/>
      <w:pPr>
        <w:tabs>
          <w:tab w:val="num" w:pos="720"/>
        </w:tabs>
        <w:ind w:left="720" w:hanging="360"/>
      </w:pPr>
      <w:rPr>
        <w:rFonts w:ascii="Times New Roman" w:hAnsi="Times New Roman" w:hint="default"/>
      </w:rPr>
    </w:lvl>
    <w:lvl w:ilvl="1" w:tplc="DCFE74C8" w:tentative="1">
      <w:start w:val="1"/>
      <w:numFmt w:val="bullet"/>
      <w:lvlText w:val="•"/>
      <w:lvlJc w:val="left"/>
      <w:pPr>
        <w:tabs>
          <w:tab w:val="num" w:pos="1440"/>
        </w:tabs>
        <w:ind w:left="1440" w:hanging="360"/>
      </w:pPr>
      <w:rPr>
        <w:rFonts w:ascii="Times New Roman" w:hAnsi="Times New Roman" w:hint="default"/>
      </w:rPr>
    </w:lvl>
    <w:lvl w:ilvl="2" w:tplc="9A621470" w:tentative="1">
      <w:start w:val="1"/>
      <w:numFmt w:val="bullet"/>
      <w:lvlText w:val="•"/>
      <w:lvlJc w:val="left"/>
      <w:pPr>
        <w:tabs>
          <w:tab w:val="num" w:pos="2160"/>
        </w:tabs>
        <w:ind w:left="2160" w:hanging="360"/>
      </w:pPr>
      <w:rPr>
        <w:rFonts w:ascii="Times New Roman" w:hAnsi="Times New Roman" w:hint="default"/>
      </w:rPr>
    </w:lvl>
    <w:lvl w:ilvl="3" w:tplc="6EA2A20C" w:tentative="1">
      <w:start w:val="1"/>
      <w:numFmt w:val="bullet"/>
      <w:lvlText w:val="•"/>
      <w:lvlJc w:val="left"/>
      <w:pPr>
        <w:tabs>
          <w:tab w:val="num" w:pos="2880"/>
        </w:tabs>
        <w:ind w:left="2880" w:hanging="360"/>
      </w:pPr>
      <w:rPr>
        <w:rFonts w:ascii="Times New Roman" w:hAnsi="Times New Roman" w:hint="default"/>
      </w:rPr>
    </w:lvl>
    <w:lvl w:ilvl="4" w:tplc="3DB6DEC8" w:tentative="1">
      <w:start w:val="1"/>
      <w:numFmt w:val="bullet"/>
      <w:lvlText w:val="•"/>
      <w:lvlJc w:val="left"/>
      <w:pPr>
        <w:tabs>
          <w:tab w:val="num" w:pos="3600"/>
        </w:tabs>
        <w:ind w:left="3600" w:hanging="360"/>
      </w:pPr>
      <w:rPr>
        <w:rFonts w:ascii="Times New Roman" w:hAnsi="Times New Roman" w:hint="default"/>
      </w:rPr>
    </w:lvl>
    <w:lvl w:ilvl="5" w:tplc="18222070" w:tentative="1">
      <w:start w:val="1"/>
      <w:numFmt w:val="bullet"/>
      <w:lvlText w:val="•"/>
      <w:lvlJc w:val="left"/>
      <w:pPr>
        <w:tabs>
          <w:tab w:val="num" w:pos="4320"/>
        </w:tabs>
        <w:ind w:left="4320" w:hanging="360"/>
      </w:pPr>
      <w:rPr>
        <w:rFonts w:ascii="Times New Roman" w:hAnsi="Times New Roman" w:hint="default"/>
      </w:rPr>
    </w:lvl>
    <w:lvl w:ilvl="6" w:tplc="C898F2F2" w:tentative="1">
      <w:start w:val="1"/>
      <w:numFmt w:val="bullet"/>
      <w:lvlText w:val="•"/>
      <w:lvlJc w:val="left"/>
      <w:pPr>
        <w:tabs>
          <w:tab w:val="num" w:pos="5040"/>
        </w:tabs>
        <w:ind w:left="5040" w:hanging="360"/>
      </w:pPr>
      <w:rPr>
        <w:rFonts w:ascii="Times New Roman" w:hAnsi="Times New Roman" w:hint="default"/>
      </w:rPr>
    </w:lvl>
    <w:lvl w:ilvl="7" w:tplc="E5B6F68A" w:tentative="1">
      <w:start w:val="1"/>
      <w:numFmt w:val="bullet"/>
      <w:lvlText w:val="•"/>
      <w:lvlJc w:val="left"/>
      <w:pPr>
        <w:tabs>
          <w:tab w:val="num" w:pos="5760"/>
        </w:tabs>
        <w:ind w:left="5760" w:hanging="360"/>
      </w:pPr>
      <w:rPr>
        <w:rFonts w:ascii="Times New Roman" w:hAnsi="Times New Roman" w:hint="default"/>
      </w:rPr>
    </w:lvl>
    <w:lvl w:ilvl="8" w:tplc="95DED67C" w:tentative="1">
      <w:start w:val="1"/>
      <w:numFmt w:val="bullet"/>
      <w:lvlText w:val="•"/>
      <w:lvlJc w:val="left"/>
      <w:pPr>
        <w:tabs>
          <w:tab w:val="num" w:pos="6480"/>
        </w:tabs>
        <w:ind w:left="6480" w:hanging="360"/>
      </w:pPr>
      <w:rPr>
        <w:rFonts w:ascii="Times New Roman" w:hAnsi="Times New Roman" w:hint="default"/>
      </w:rPr>
    </w:lvl>
  </w:abstractNum>
  <w:abstractNum w:abstractNumId="2">
    <w:nsid w:val="40721D2A"/>
    <w:multiLevelType w:val="hybridMultilevel"/>
    <w:tmpl w:val="EB2EFC00"/>
    <w:lvl w:ilvl="0" w:tplc="0CDE06B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4621FB5"/>
    <w:multiLevelType w:val="hybridMultilevel"/>
    <w:tmpl w:val="066E0F06"/>
    <w:lvl w:ilvl="0" w:tplc="99C81D6C">
      <w:start w:val="1"/>
      <w:numFmt w:val="decimal"/>
      <w:lvlText w:val="%1."/>
      <w:lvlJc w:val="left"/>
      <w:pPr>
        <w:ind w:left="720" w:hanging="360"/>
      </w:pPr>
      <w:rPr>
        <w:rFonts w:hint="default"/>
        <w:b/>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4CB70F4"/>
    <w:multiLevelType w:val="hybridMultilevel"/>
    <w:tmpl w:val="06ECCC66"/>
    <w:lvl w:ilvl="0" w:tplc="3716AB16">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D8E03FB"/>
    <w:multiLevelType w:val="hybridMultilevel"/>
    <w:tmpl w:val="E848D4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CC17344"/>
    <w:multiLevelType w:val="hybridMultilevel"/>
    <w:tmpl w:val="5D2E3CD6"/>
    <w:lvl w:ilvl="0" w:tplc="72848F92">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E422384"/>
    <w:multiLevelType w:val="hybridMultilevel"/>
    <w:tmpl w:val="C1E038D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3997B8F"/>
    <w:multiLevelType w:val="multilevel"/>
    <w:tmpl w:val="D932ED4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8"/>
  </w:num>
  <w:num w:numId="2">
    <w:abstractNumId w:val="2"/>
  </w:num>
  <w:num w:numId="3">
    <w:abstractNumId w:val="4"/>
  </w:num>
  <w:num w:numId="4">
    <w:abstractNumId w:val="7"/>
  </w:num>
  <w:num w:numId="5">
    <w:abstractNumId w:val="1"/>
  </w:num>
  <w:num w:numId="6">
    <w:abstractNumId w:val="6"/>
  </w:num>
  <w:num w:numId="7">
    <w:abstractNumId w:val="3"/>
  </w:num>
  <w:num w:numId="8">
    <w:abstractNumId w:val="0"/>
  </w:num>
  <w:num w:numId="9">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0"/>
  <w:hyphenationZone w:val="425"/>
  <w:noPunctuationKerning/>
  <w:characterSpacingControl w:val="doNotCompress"/>
  <w:hdrShapeDefaults>
    <o:shapedefaults v:ext="edit" spidmax="29697"/>
  </w:hdrShapeDefaults>
  <w:footnotePr>
    <w:footnote w:id="-1"/>
    <w:footnote w:id="0"/>
  </w:footnotePr>
  <w:endnotePr>
    <w:endnote w:id="-1"/>
    <w:endnote w:id="0"/>
  </w:endnotePr>
  <w:compat/>
  <w:rsids>
    <w:rsidRoot w:val="004B7420"/>
    <w:rsid w:val="000073DE"/>
    <w:rsid w:val="000238AC"/>
    <w:rsid w:val="00027C66"/>
    <w:rsid w:val="00034CCC"/>
    <w:rsid w:val="000415D3"/>
    <w:rsid w:val="000663DC"/>
    <w:rsid w:val="00073219"/>
    <w:rsid w:val="00074B19"/>
    <w:rsid w:val="00083363"/>
    <w:rsid w:val="0008385F"/>
    <w:rsid w:val="0008688F"/>
    <w:rsid w:val="00095A7D"/>
    <w:rsid w:val="000C0C19"/>
    <w:rsid w:val="000C61C4"/>
    <w:rsid w:val="000E6200"/>
    <w:rsid w:val="001117F1"/>
    <w:rsid w:val="001437AC"/>
    <w:rsid w:val="001636C0"/>
    <w:rsid w:val="0018405C"/>
    <w:rsid w:val="00197A47"/>
    <w:rsid w:val="001A27EC"/>
    <w:rsid w:val="001F6FAA"/>
    <w:rsid w:val="002067A8"/>
    <w:rsid w:val="0023621A"/>
    <w:rsid w:val="00252C05"/>
    <w:rsid w:val="00262A88"/>
    <w:rsid w:val="002675BA"/>
    <w:rsid w:val="002751DB"/>
    <w:rsid w:val="0028087F"/>
    <w:rsid w:val="00297592"/>
    <w:rsid w:val="002B0389"/>
    <w:rsid w:val="002B2169"/>
    <w:rsid w:val="002B322C"/>
    <w:rsid w:val="002B497E"/>
    <w:rsid w:val="002B4B1A"/>
    <w:rsid w:val="002D01D6"/>
    <w:rsid w:val="00307DA0"/>
    <w:rsid w:val="0036773C"/>
    <w:rsid w:val="0037661B"/>
    <w:rsid w:val="003D4987"/>
    <w:rsid w:val="00410E77"/>
    <w:rsid w:val="004154DB"/>
    <w:rsid w:val="00420019"/>
    <w:rsid w:val="0042480C"/>
    <w:rsid w:val="004330BD"/>
    <w:rsid w:val="00475CEF"/>
    <w:rsid w:val="004820F4"/>
    <w:rsid w:val="004B7420"/>
    <w:rsid w:val="004C2D58"/>
    <w:rsid w:val="004D625E"/>
    <w:rsid w:val="004D775D"/>
    <w:rsid w:val="004F3B19"/>
    <w:rsid w:val="004F762A"/>
    <w:rsid w:val="00530093"/>
    <w:rsid w:val="00575CB4"/>
    <w:rsid w:val="00581314"/>
    <w:rsid w:val="005B06CA"/>
    <w:rsid w:val="005C4181"/>
    <w:rsid w:val="005E5BA4"/>
    <w:rsid w:val="00601077"/>
    <w:rsid w:val="00625743"/>
    <w:rsid w:val="00664BB4"/>
    <w:rsid w:val="006A38D1"/>
    <w:rsid w:val="006B13B4"/>
    <w:rsid w:val="006C3D5B"/>
    <w:rsid w:val="006C4F0C"/>
    <w:rsid w:val="006D218D"/>
    <w:rsid w:val="006D5825"/>
    <w:rsid w:val="006E2747"/>
    <w:rsid w:val="0070655A"/>
    <w:rsid w:val="00717291"/>
    <w:rsid w:val="007248E6"/>
    <w:rsid w:val="007666C2"/>
    <w:rsid w:val="007A2E20"/>
    <w:rsid w:val="007B144D"/>
    <w:rsid w:val="007B1EA3"/>
    <w:rsid w:val="007B29FA"/>
    <w:rsid w:val="007B6A47"/>
    <w:rsid w:val="007C151D"/>
    <w:rsid w:val="007E4290"/>
    <w:rsid w:val="007E5696"/>
    <w:rsid w:val="0080013D"/>
    <w:rsid w:val="00814A0F"/>
    <w:rsid w:val="00816283"/>
    <w:rsid w:val="00856E4B"/>
    <w:rsid w:val="008676E8"/>
    <w:rsid w:val="00876224"/>
    <w:rsid w:val="00876DD9"/>
    <w:rsid w:val="008826F1"/>
    <w:rsid w:val="008924FC"/>
    <w:rsid w:val="008A20CB"/>
    <w:rsid w:val="008A6295"/>
    <w:rsid w:val="008B0285"/>
    <w:rsid w:val="008B5F72"/>
    <w:rsid w:val="008C4644"/>
    <w:rsid w:val="008D5A7E"/>
    <w:rsid w:val="008F2F03"/>
    <w:rsid w:val="00906117"/>
    <w:rsid w:val="00926987"/>
    <w:rsid w:val="00973174"/>
    <w:rsid w:val="00975A9B"/>
    <w:rsid w:val="009811BB"/>
    <w:rsid w:val="00983CF0"/>
    <w:rsid w:val="00990CD6"/>
    <w:rsid w:val="009A69EE"/>
    <w:rsid w:val="009E1570"/>
    <w:rsid w:val="009E22D6"/>
    <w:rsid w:val="009E41C6"/>
    <w:rsid w:val="009F7456"/>
    <w:rsid w:val="009F77E1"/>
    <w:rsid w:val="00A2386D"/>
    <w:rsid w:val="00A3796D"/>
    <w:rsid w:val="00A647DC"/>
    <w:rsid w:val="00A8008F"/>
    <w:rsid w:val="00AA11C9"/>
    <w:rsid w:val="00AB09AE"/>
    <w:rsid w:val="00AD6FA5"/>
    <w:rsid w:val="00AE5048"/>
    <w:rsid w:val="00B015D7"/>
    <w:rsid w:val="00B04231"/>
    <w:rsid w:val="00B049D4"/>
    <w:rsid w:val="00B05906"/>
    <w:rsid w:val="00B13107"/>
    <w:rsid w:val="00B139E5"/>
    <w:rsid w:val="00B15AC1"/>
    <w:rsid w:val="00B2287D"/>
    <w:rsid w:val="00B236F8"/>
    <w:rsid w:val="00B44830"/>
    <w:rsid w:val="00B532E9"/>
    <w:rsid w:val="00BA688B"/>
    <w:rsid w:val="00BC32A6"/>
    <w:rsid w:val="00BF20B3"/>
    <w:rsid w:val="00BF6EFA"/>
    <w:rsid w:val="00C42022"/>
    <w:rsid w:val="00C61014"/>
    <w:rsid w:val="00C7034D"/>
    <w:rsid w:val="00C70F64"/>
    <w:rsid w:val="00C7181B"/>
    <w:rsid w:val="00C951A3"/>
    <w:rsid w:val="00CA2C33"/>
    <w:rsid w:val="00CB0044"/>
    <w:rsid w:val="00CC03E4"/>
    <w:rsid w:val="00CC1020"/>
    <w:rsid w:val="00CF13FD"/>
    <w:rsid w:val="00D1048C"/>
    <w:rsid w:val="00D1306C"/>
    <w:rsid w:val="00D37D10"/>
    <w:rsid w:val="00D37F16"/>
    <w:rsid w:val="00D43EAC"/>
    <w:rsid w:val="00D45153"/>
    <w:rsid w:val="00D558E4"/>
    <w:rsid w:val="00D56826"/>
    <w:rsid w:val="00D62A84"/>
    <w:rsid w:val="00D70A6A"/>
    <w:rsid w:val="00D85A13"/>
    <w:rsid w:val="00DC74D0"/>
    <w:rsid w:val="00DE0CBB"/>
    <w:rsid w:val="00DE16F7"/>
    <w:rsid w:val="00DE6ED0"/>
    <w:rsid w:val="00E216A4"/>
    <w:rsid w:val="00E4123A"/>
    <w:rsid w:val="00E4799C"/>
    <w:rsid w:val="00E6659E"/>
    <w:rsid w:val="00E73C69"/>
    <w:rsid w:val="00EB112F"/>
    <w:rsid w:val="00F217D6"/>
    <w:rsid w:val="00F262A8"/>
    <w:rsid w:val="00F26AD8"/>
    <w:rsid w:val="00F36AFC"/>
    <w:rsid w:val="00F36EA3"/>
    <w:rsid w:val="00F43FE6"/>
    <w:rsid w:val="00F45B64"/>
    <w:rsid w:val="00F628D9"/>
    <w:rsid w:val="00F64C90"/>
    <w:rsid w:val="00FA7C1B"/>
    <w:rsid w:val="00FB1207"/>
    <w:rsid w:val="00FB7A41"/>
    <w:rsid w:val="00FE1011"/>
    <w:rsid w:val="00FE3EBD"/>
    <w:rsid w:val="00FE648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420"/>
    <w:pPr>
      <w:autoSpaceDE w:val="0"/>
      <w:autoSpaceDN w:val="0"/>
    </w:pPr>
    <w:rPr>
      <w:lang w:val="es-ES_tradnl"/>
    </w:rPr>
  </w:style>
  <w:style w:type="paragraph" w:styleId="Ttulo1">
    <w:name w:val="heading 1"/>
    <w:basedOn w:val="Normal"/>
    <w:next w:val="Normal"/>
    <w:link w:val="Ttulo1Car"/>
    <w:uiPriority w:val="9"/>
    <w:qFormat/>
    <w:rsid w:val="00B049D4"/>
    <w:pPr>
      <w:keepNext/>
      <w:numPr>
        <w:numId w:val="1"/>
      </w:numPr>
      <w:autoSpaceDE/>
      <w:autoSpaceDN/>
      <w:spacing w:before="240" w:after="60"/>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ar"/>
    <w:uiPriority w:val="9"/>
    <w:semiHidden/>
    <w:unhideWhenUsed/>
    <w:qFormat/>
    <w:rsid w:val="00B049D4"/>
    <w:pPr>
      <w:keepNext/>
      <w:numPr>
        <w:ilvl w:val="1"/>
        <w:numId w:val="1"/>
      </w:numPr>
      <w:autoSpaceDE/>
      <w:autoSpaceDN/>
      <w:spacing w:before="240" w:after="6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ar"/>
    <w:uiPriority w:val="9"/>
    <w:semiHidden/>
    <w:unhideWhenUsed/>
    <w:qFormat/>
    <w:rsid w:val="00B049D4"/>
    <w:pPr>
      <w:keepNext/>
      <w:numPr>
        <w:ilvl w:val="2"/>
        <w:numId w:val="1"/>
      </w:numPr>
      <w:autoSpaceDE/>
      <w:autoSpaceDN/>
      <w:spacing w:before="240" w:after="6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B049D4"/>
    <w:pPr>
      <w:keepNext/>
      <w:numPr>
        <w:ilvl w:val="3"/>
        <w:numId w:val="1"/>
      </w:numPr>
      <w:autoSpaceDE/>
      <w:autoSpaceDN/>
      <w:spacing w:before="240" w:after="6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B049D4"/>
    <w:pPr>
      <w:numPr>
        <w:ilvl w:val="4"/>
        <w:numId w:val="1"/>
      </w:numPr>
      <w:autoSpaceDE/>
      <w:autoSpaceDN/>
      <w:spacing w:before="240" w:after="6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B049D4"/>
    <w:pPr>
      <w:numPr>
        <w:ilvl w:val="5"/>
        <w:numId w:val="1"/>
      </w:numPr>
      <w:autoSpaceDE/>
      <w:autoSpaceDN/>
      <w:spacing w:before="240" w:after="6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B049D4"/>
    <w:pPr>
      <w:numPr>
        <w:ilvl w:val="6"/>
        <w:numId w:val="1"/>
      </w:numPr>
      <w:autoSpaceDE/>
      <w:autoSpaceDN/>
      <w:spacing w:before="240" w:after="60"/>
      <w:outlineLvl w:val="6"/>
    </w:pPr>
    <w:rPr>
      <w:rFonts w:asciiTheme="minorHAnsi" w:eastAsiaTheme="minorEastAsia" w:hAnsiTheme="minorHAnsi" w:cstheme="minorBidi"/>
      <w:sz w:val="24"/>
      <w:szCs w:val="24"/>
      <w:lang w:val="en-US" w:eastAsia="en-US"/>
    </w:rPr>
  </w:style>
  <w:style w:type="paragraph" w:styleId="Ttulo8">
    <w:name w:val="heading 8"/>
    <w:basedOn w:val="Normal"/>
    <w:next w:val="Normal"/>
    <w:link w:val="Ttulo8Car"/>
    <w:uiPriority w:val="9"/>
    <w:semiHidden/>
    <w:unhideWhenUsed/>
    <w:qFormat/>
    <w:rsid w:val="00B049D4"/>
    <w:pPr>
      <w:numPr>
        <w:ilvl w:val="7"/>
        <w:numId w:val="1"/>
      </w:numPr>
      <w:autoSpaceDE/>
      <w:autoSpaceDN/>
      <w:spacing w:before="240" w:after="60"/>
      <w:outlineLvl w:val="7"/>
    </w:pPr>
    <w:rPr>
      <w:rFonts w:asciiTheme="minorHAnsi" w:eastAsiaTheme="minorEastAsia" w:hAnsiTheme="minorHAnsi" w:cstheme="minorBidi"/>
      <w:i/>
      <w:iCs/>
      <w:sz w:val="24"/>
      <w:szCs w:val="24"/>
      <w:lang w:val="en-US" w:eastAsia="en-US"/>
    </w:rPr>
  </w:style>
  <w:style w:type="paragraph" w:styleId="Ttulo9">
    <w:name w:val="heading 9"/>
    <w:basedOn w:val="Normal"/>
    <w:next w:val="Normal"/>
    <w:link w:val="Ttulo9Car"/>
    <w:uiPriority w:val="9"/>
    <w:semiHidden/>
    <w:unhideWhenUsed/>
    <w:qFormat/>
    <w:rsid w:val="00B049D4"/>
    <w:pPr>
      <w:numPr>
        <w:ilvl w:val="8"/>
        <w:numId w:val="1"/>
      </w:numPr>
      <w:autoSpaceDE/>
      <w:autoSpaceDN/>
      <w:spacing w:before="240" w:after="6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Web8">
    <w:name w:val="Normal (Web)8"/>
    <w:basedOn w:val="Normal"/>
    <w:link w:val="NormalWeb8Car"/>
    <w:rsid w:val="004B7420"/>
    <w:pPr>
      <w:autoSpaceDE/>
      <w:autoSpaceDN/>
      <w:spacing w:before="150" w:after="150"/>
    </w:pPr>
    <w:rPr>
      <w:rFonts w:ascii="Verdana" w:hAnsi="Verdana" w:cs="Verdana"/>
      <w:color w:val="000000"/>
      <w:sz w:val="18"/>
      <w:szCs w:val="18"/>
      <w:lang w:val="es-ES"/>
    </w:rPr>
  </w:style>
  <w:style w:type="paragraph" w:styleId="Prrafodelista">
    <w:name w:val="List Paragraph"/>
    <w:basedOn w:val="Normal"/>
    <w:uiPriority w:val="34"/>
    <w:qFormat/>
    <w:rsid w:val="004B7420"/>
    <w:pPr>
      <w:ind w:left="720"/>
      <w:contextualSpacing/>
    </w:pPr>
  </w:style>
  <w:style w:type="paragraph" w:styleId="Piedepgina">
    <w:name w:val="footer"/>
    <w:basedOn w:val="Normal"/>
    <w:link w:val="PiedepginaCar"/>
    <w:uiPriority w:val="99"/>
    <w:rsid w:val="004B7420"/>
    <w:pPr>
      <w:tabs>
        <w:tab w:val="center" w:pos="4252"/>
        <w:tab w:val="right" w:pos="8504"/>
      </w:tabs>
    </w:pPr>
  </w:style>
  <w:style w:type="character" w:customStyle="1" w:styleId="PiedepginaCar">
    <w:name w:val="Pie de página Car"/>
    <w:basedOn w:val="Fuentedeprrafopredeter"/>
    <w:link w:val="Piedepgina"/>
    <w:uiPriority w:val="99"/>
    <w:rsid w:val="004B7420"/>
    <w:rPr>
      <w:lang w:val="es-ES_tradnl"/>
    </w:rPr>
  </w:style>
  <w:style w:type="paragraph" w:styleId="Textodeglobo">
    <w:name w:val="Balloon Text"/>
    <w:basedOn w:val="Normal"/>
    <w:link w:val="TextodegloboCar"/>
    <w:rsid w:val="00B44830"/>
    <w:rPr>
      <w:rFonts w:ascii="Tahoma" w:hAnsi="Tahoma" w:cs="Tahoma"/>
      <w:sz w:val="16"/>
      <w:szCs w:val="16"/>
    </w:rPr>
  </w:style>
  <w:style w:type="character" w:customStyle="1" w:styleId="TextodegloboCar">
    <w:name w:val="Texto de globo Car"/>
    <w:basedOn w:val="Fuentedeprrafopredeter"/>
    <w:link w:val="Textodeglobo"/>
    <w:rsid w:val="00B44830"/>
    <w:rPr>
      <w:rFonts w:ascii="Tahoma" w:hAnsi="Tahoma" w:cs="Tahoma"/>
      <w:sz w:val="16"/>
      <w:szCs w:val="16"/>
      <w:lang w:val="es-ES_tradnl"/>
    </w:rPr>
  </w:style>
  <w:style w:type="character" w:customStyle="1" w:styleId="NormalWeb8Car">
    <w:name w:val="Normal (Web)8 Car"/>
    <w:basedOn w:val="Fuentedeprrafopredeter"/>
    <w:link w:val="NormalWeb8"/>
    <w:rsid w:val="00983CF0"/>
    <w:rPr>
      <w:rFonts w:ascii="Verdana" w:hAnsi="Verdana" w:cs="Verdana"/>
      <w:color w:val="000000"/>
      <w:sz w:val="18"/>
      <w:szCs w:val="18"/>
    </w:rPr>
  </w:style>
  <w:style w:type="paragraph" w:styleId="Encabezado">
    <w:name w:val="header"/>
    <w:basedOn w:val="Normal"/>
    <w:link w:val="EncabezadoCar"/>
    <w:uiPriority w:val="99"/>
    <w:rsid w:val="00197A47"/>
    <w:pPr>
      <w:tabs>
        <w:tab w:val="center" w:pos="4252"/>
        <w:tab w:val="right" w:pos="8504"/>
      </w:tabs>
    </w:pPr>
  </w:style>
  <w:style w:type="character" w:customStyle="1" w:styleId="EncabezadoCar">
    <w:name w:val="Encabezado Car"/>
    <w:basedOn w:val="Fuentedeprrafopredeter"/>
    <w:link w:val="Encabezado"/>
    <w:uiPriority w:val="99"/>
    <w:rsid w:val="00197A47"/>
    <w:rPr>
      <w:lang w:val="es-ES_tradnl"/>
    </w:rPr>
  </w:style>
  <w:style w:type="paragraph" w:customStyle="1" w:styleId="Pa8">
    <w:name w:val="Pa8"/>
    <w:basedOn w:val="Normal"/>
    <w:next w:val="Normal"/>
    <w:uiPriority w:val="99"/>
    <w:rsid w:val="00197A47"/>
    <w:pPr>
      <w:adjustRightInd w:val="0"/>
      <w:spacing w:line="201" w:lineRule="atLeast"/>
    </w:pPr>
    <w:rPr>
      <w:rFonts w:ascii="Arial" w:hAnsi="Arial" w:cs="Arial"/>
      <w:sz w:val="24"/>
      <w:szCs w:val="24"/>
      <w:lang w:val="es-ES"/>
    </w:rPr>
  </w:style>
  <w:style w:type="paragraph" w:customStyle="1" w:styleId="Pa10">
    <w:name w:val="Pa10"/>
    <w:basedOn w:val="Normal"/>
    <w:next w:val="Normal"/>
    <w:uiPriority w:val="99"/>
    <w:rsid w:val="00197A47"/>
    <w:pPr>
      <w:adjustRightInd w:val="0"/>
      <w:spacing w:line="201" w:lineRule="atLeast"/>
    </w:pPr>
    <w:rPr>
      <w:rFonts w:ascii="Arial" w:hAnsi="Arial" w:cs="Arial"/>
      <w:sz w:val="24"/>
      <w:szCs w:val="24"/>
      <w:lang w:val="es-ES"/>
    </w:rPr>
  </w:style>
  <w:style w:type="paragraph" w:customStyle="1" w:styleId="Default">
    <w:name w:val="Default"/>
    <w:rsid w:val="00197A47"/>
    <w:pPr>
      <w:autoSpaceDE w:val="0"/>
      <w:autoSpaceDN w:val="0"/>
      <w:adjustRightInd w:val="0"/>
    </w:pPr>
    <w:rPr>
      <w:rFonts w:ascii="Arial" w:hAnsi="Arial" w:cs="Arial"/>
      <w:color w:val="000000"/>
      <w:sz w:val="24"/>
      <w:szCs w:val="24"/>
    </w:rPr>
  </w:style>
  <w:style w:type="character" w:customStyle="1" w:styleId="Ttulo1Car">
    <w:name w:val="Título 1 Car"/>
    <w:basedOn w:val="Fuentedeprrafopredeter"/>
    <w:link w:val="Ttulo1"/>
    <w:uiPriority w:val="9"/>
    <w:rsid w:val="00B049D4"/>
    <w:rPr>
      <w:rFonts w:asciiTheme="majorHAnsi" w:eastAsiaTheme="majorEastAsia" w:hAnsiTheme="majorHAnsi" w:cstheme="majorBidi"/>
      <w:b/>
      <w:bCs/>
      <w:kern w:val="32"/>
      <w:sz w:val="32"/>
      <w:szCs w:val="32"/>
      <w:lang w:val="en-US" w:eastAsia="en-US"/>
    </w:rPr>
  </w:style>
  <w:style w:type="character" w:customStyle="1" w:styleId="Ttulo2Car">
    <w:name w:val="Título 2 Car"/>
    <w:basedOn w:val="Fuentedeprrafopredeter"/>
    <w:link w:val="Ttulo2"/>
    <w:uiPriority w:val="9"/>
    <w:semiHidden/>
    <w:rsid w:val="00B049D4"/>
    <w:rPr>
      <w:rFonts w:asciiTheme="majorHAnsi" w:eastAsiaTheme="majorEastAsia" w:hAnsiTheme="majorHAnsi" w:cstheme="majorBidi"/>
      <w:b/>
      <w:bCs/>
      <w:i/>
      <w:iCs/>
      <w:sz w:val="28"/>
      <w:szCs w:val="28"/>
      <w:lang w:val="en-US" w:eastAsia="en-US"/>
    </w:rPr>
  </w:style>
  <w:style w:type="character" w:customStyle="1" w:styleId="Ttulo3Car">
    <w:name w:val="Título 3 Car"/>
    <w:basedOn w:val="Fuentedeprrafopredeter"/>
    <w:link w:val="Ttulo3"/>
    <w:uiPriority w:val="9"/>
    <w:semiHidden/>
    <w:rsid w:val="00B049D4"/>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B049D4"/>
    <w:rPr>
      <w:rFonts w:asciiTheme="minorHAnsi" w:eastAsiaTheme="minorEastAsia" w:hAnsiTheme="minorHAnsi" w:cstheme="minorBidi"/>
      <w:b/>
      <w:bCs/>
      <w:sz w:val="28"/>
      <w:szCs w:val="28"/>
      <w:lang w:val="en-US" w:eastAsia="en-US"/>
    </w:rPr>
  </w:style>
  <w:style w:type="character" w:customStyle="1" w:styleId="Ttulo5Car">
    <w:name w:val="Título 5 Car"/>
    <w:basedOn w:val="Fuentedeprrafopredeter"/>
    <w:link w:val="Ttulo5"/>
    <w:uiPriority w:val="9"/>
    <w:semiHidden/>
    <w:rsid w:val="00B049D4"/>
    <w:rPr>
      <w:rFonts w:asciiTheme="minorHAnsi" w:eastAsiaTheme="minorEastAsia" w:hAnsiTheme="minorHAnsi" w:cstheme="minorBidi"/>
      <w:b/>
      <w:bCs/>
      <w:i/>
      <w:iCs/>
      <w:sz w:val="26"/>
      <w:szCs w:val="26"/>
      <w:lang w:val="en-US" w:eastAsia="en-US"/>
    </w:rPr>
  </w:style>
  <w:style w:type="character" w:customStyle="1" w:styleId="Ttulo6Car">
    <w:name w:val="Título 6 Car"/>
    <w:basedOn w:val="Fuentedeprrafopredeter"/>
    <w:link w:val="Ttulo6"/>
    <w:rsid w:val="00B049D4"/>
    <w:rPr>
      <w:b/>
      <w:bCs/>
      <w:sz w:val="22"/>
      <w:szCs w:val="22"/>
      <w:lang w:val="en-US" w:eastAsia="en-US"/>
    </w:rPr>
  </w:style>
  <w:style w:type="character" w:customStyle="1" w:styleId="Ttulo7Car">
    <w:name w:val="Título 7 Car"/>
    <w:basedOn w:val="Fuentedeprrafopredeter"/>
    <w:link w:val="Ttulo7"/>
    <w:uiPriority w:val="9"/>
    <w:semiHidden/>
    <w:rsid w:val="00B049D4"/>
    <w:rPr>
      <w:rFonts w:asciiTheme="minorHAnsi" w:eastAsiaTheme="minorEastAsia" w:hAnsiTheme="minorHAnsi" w:cstheme="minorBidi"/>
      <w:sz w:val="24"/>
      <w:szCs w:val="24"/>
      <w:lang w:val="en-US" w:eastAsia="en-US"/>
    </w:rPr>
  </w:style>
  <w:style w:type="character" w:customStyle="1" w:styleId="Ttulo8Car">
    <w:name w:val="Título 8 Car"/>
    <w:basedOn w:val="Fuentedeprrafopredeter"/>
    <w:link w:val="Ttulo8"/>
    <w:uiPriority w:val="9"/>
    <w:semiHidden/>
    <w:rsid w:val="00B049D4"/>
    <w:rPr>
      <w:rFonts w:asciiTheme="minorHAnsi" w:eastAsiaTheme="minorEastAsia" w:hAnsiTheme="minorHAnsi" w:cstheme="minorBidi"/>
      <w:i/>
      <w:iCs/>
      <w:sz w:val="24"/>
      <w:szCs w:val="24"/>
      <w:lang w:val="en-US" w:eastAsia="en-US"/>
    </w:rPr>
  </w:style>
  <w:style w:type="character" w:customStyle="1" w:styleId="Ttulo9Car">
    <w:name w:val="Título 9 Car"/>
    <w:basedOn w:val="Fuentedeprrafopredeter"/>
    <w:link w:val="Ttulo9"/>
    <w:uiPriority w:val="9"/>
    <w:semiHidden/>
    <w:rsid w:val="00B049D4"/>
    <w:rPr>
      <w:rFonts w:asciiTheme="majorHAnsi" w:eastAsiaTheme="majorEastAsia" w:hAnsiTheme="majorHAnsi" w:cstheme="majorBidi"/>
      <w:sz w:val="22"/>
      <w:szCs w:val="22"/>
      <w:lang w:val="en-US" w:eastAsia="en-US"/>
    </w:rPr>
  </w:style>
  <w:style w:type="table" w:styleId="Tablaconcuadrcula">
    <w:name w:val="Table Grid"/>
    <w:basedOn w:val="Tablanormal"/>
    <w:uiPriority w:val="59"/>
    <w:rsid w:val="00B049D4"/>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AA11C9"/>
    <w:pPr>
      <w:autoSpaceDE/>
      <w:autoSpaceDN/>
    </w:pPr>
    <w:rPr>
      <w:rFonts w:ascii="Consolas" w:eastAsiaTheme="minorHAnsi" w:hAnsi="Consolas"/>
      <w:sz w:val="21"/>
      <w:szCs w:val="21"/>
      <w:lang w:val="es-ES"/>
    </w:rPr>
  </w:style>
  <w:style w:type="character" w:customStyle="1" w:styleId="TextosinformatoCar">
    <w:name w:val="Texto sin formato Car"/>
    <w:basedOn w:val="Fuentedeprrafopredeter"/>
    <w:link w:val="Textosinformato"/>
    <w:uiPriority w:val="99"/>
    <w:rsid w:val="00AA11C9"/>
    <w:rPr>
      <w:rFonts w:ascii="Consolas" w:eastAsiaTheme="minorHAnsi" w:hAnsi="Consolas"/>
      <w:sz w:val="21"/>
      <w:szCs w:val="21"/>
    </w:rPr>
  </w:style>
  <w:style w:type="character" w:styleId="Hipervnculo">
    <w:name w:val="Hyperlink"/>
    <w:basedOn w:val="Fuentedeprrafopredeter"/>
    <w:unhideWhenUsed/>
    <w:rsid w:val="00AA11C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89696716">
      <w:bodyDiv w:val="1"/>
      <w:marLeft w:val="0"/>
      <w:marRight w:val="0"/>
      <w:marTop w:val="0"/>
      <w:marBottom w:val="0"/>
      <w:divBdr>
        <w:top w:val="none" w:sz="0" w:space="0" w:color="auto"/>
        <w:left w:val="none" w:sz="0" w:space="0" w:color="auto"/>
        <w:bottom w:val="none" w:sz="0" w:space="0" w:color="auto"/>
        <w:right w:val="none" w:sz="0" w:space="0" w:color="auto"/>
      </w:divBdr>
    </w:div>
    <w:div w:id="500971320">
      <w:bodyDiv w:val="1"/>
      <w:marLeft w:val="0"/>
      <w:marRight w:val="0"/>
      <w:marTop w:val="0"/>
      <w:marBottom w:val="0"/>
      <w:divBdr>
        <w:top w:val="none" w:sz="0" w:space="0" w:color="auto"/>
        <w:left w:val="none" w:sz="0" w:space="0" w:color="auto"/>
        <w:bottom w:val="none" w:sz="0" w:space="0" w:color="auto"/>
        <w:right w:val="none" w:sz="0" w:space="0" w:color="auto"/>
      </w:divBdr>
    </w:div>
    <w:div w:id="981811140">
      <w:bodyDiv w:val="1"/>
      <w:marLeft w:val="0"/>
      <w:marRight w:val="0"/>
      <w:marTop w:val="0"/>
      <w:marBottom w:val="0"/>
      <w:divBdr>
        <w:top w:val="none" w:sz="0" w:space="0" w:color="auto"/>
        <w:left w:val="none" w:sz="0" w:space="0" w:color="auto"/>
        <w:bottom w:val="none" w:sz="0" w:space="0" w:color="auto"/>
        <w:right w:val="none" w:sz="0" w:space="0" w:color="auto"/>
      </w:divBdr>
    </w:div>
    <w:div w:id="210719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691BD-F0E2-40EC-BBB8-AAE2612F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4208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cp:lastPrinted>2015-10-14T12:02:00Z</cp:lastPrinted>
  <dcterms:created xsi:type="dcterms:W3CDTF">2015-12-18T07:32:00Z</dcterms:created>
  <dcterms:modified xsi:type="dcterms:W3CDTF">2015-12-18T07:32:00Z</dcterms:modified>
</cp:coreProperties>
</file>