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6C6" w:rsidRPr="006A6C92" w:rsidRDefault="00E366C6" w:rsidP="009A6EA9">
      <w:pPr>
        <w:rPr>
          <w:rFonts w:ascii="Arial" w:hAnsi="Arial" w:cs="Arial"/>
          <w:sz w:val="24"/>
        </w:rPr>
      </w:pPr>
    </w:p>
    <w:p w:rsidR="00E366C6" w:rsidRPr="006A6C92" w:rsidRDefault="00E366C6" w:rsidP="009A6EA9">
      <w:pPr>
        <w:rPr>
          <w:rFonts w:ascii="Arial" w:hAnsi="Arial" w:cs="Arial"/>
          <w:sz w:val="24"/>
        </w:rPr>
      </w:pPr>
    </w:p>
    <w:p w:rsidR="00E366C6" w:rsidRPr="006A6C92" w:rsidRDefault="00E366C6" w:rsidP="009A6EA9">
      <w:pPr>
        <w:rPr>
          <w:rFonts w:ascii="Arial" w:hAnsi="Arial" w:cs="Arial"/>
          <w:sz w:val="24"/>
        </w:rPr>
      </w:pPr>
    </w:p>
    <w:p w:rsidR="00E366C6" w:rsidRPr="006A6C92" w:rsidRDefault="00E366C6" w:rsidP="009A6EA9">
      <w:pPr>
        <w:rPr>
          <w:rFonts w:ascii="Arial" w:hAnsi="Arial" w:cs="Arial"/>
          <w:sz w:val="24"/>
        </w:rPr>
      </w:pPr>
    </w:p>
    <w:p w:rsidR="00E366C6" w:rsidRPr="006A6C92" w:rsidRDefault="00E366C6" w:rsidP="009A6EA9">
      <w:pPr>
        <w:rPr>
          <w:rFonts w:ascii="Arial" w:hAnsi="Arial" w:cs="Arial"/>
          <w:sz w:val="24"/>
        </w:rPr>
      </w:pPr>
    </w:p>
    <w:p w:rsidR="00E366C6" w:rsidRPr="006A6C92" w:rsidRDefault="007E38BA" w:rsidP="007778D4">
      <w:pPr>
        <w:spacing w:before="480" w:after="480" w:line="240" w:lineRule="auto"/>
        <w:jc w:val="center"/>
        <w:rPr>
          <w:rFonts w:ascii="Arial" w:hAnsi="Arial" w:cs="Arial"/>
          <w:sz w:val="24"/>
        </w:rPr>
      </w:pPr>
      <w:r w:rsidRPr="007E38BA">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45pt;height:84.65pt">
            <v:imagedata r:id="rId7" o:title=""/>
          </v:shape>
        </w:pic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20"/>
      </w:tblGrid>
      <w:tr w:rsidR="00E366C6" w:rsidRPr="006A6C92">
        <w:tc>
          <w:tcPr>
            <w:tcW w:w="7920" w:type="dxa"/>
            <w:tcBorders>
              <w:top w:val="single" w:sz="18" w:space="0" w:color="auto"/>
              <w:left w:val="single" w:sz="18" w:space="0" w:color="auto"/>
              <w:bottom w:val="single" w:sz="18" w:space="0" w:color="auto"/>
              <w:right w:val="single" w:sz="18" w:space="0" w:color="auto"/>
            </w:tcBorders>
            <w:shd w:val="clear" w:color="auto" w:fill="C0C0C0"/>
          </w:tcPr>
          <w:p w:rsidR="00D60911" w:rsidRPr="006A6C92" w:rsidRDefault="00F742B7" w:rsidP="007778D4">
            <w:pPr>
              <w:spacing w:after="240"/>
              <w:jc w:val="center"/>
              <w:rPr>
                <w:rFonts w:ascii="Arial" w:hAnsi="Arial" w:cs="Arial"/>
                <w:b/>
                <w:sz w:val="24"/>
              </w:rPr>
            </w:pPr>
            <w:r w:rsidRPr="005D6C9C">
              <w:rPr>
                <w:b/>
                <w:sz w:val="24"/>
              </w:rPr>
              <w:t xml:space="preserve">DIRECCIÓN DE </w:t>
            </w:r>
            <w:r w:rsidRPr="00D655D9">
              <w:rPr>
                <w:b/>
                <w:sz w:val="24"/>
              </w:rPr>
              <w:t xml:space="preserve">ESTRATEGIA DE NEGOCIO, </w:t>
            </w:r>
            <w:r>
              <w:rPr>
                <w:b/>
                <w:sz w:val="24"/>
              </w:rPr>
              <w:t xml:space="preserve">     </w:t>
            </w:r>
            <w:r w:rsidRPr="00D655D9">
              <w:rPr>
                <w:b/>
                <w:sz w:val="24"/>
              </w:rPr>
              <w:t>MARKETING E INTERNACIONAL</w:t>
            </w:r>
          </w:p>
          <w:p w:rsidR="00E366C6" w:rsidRPr="006A6C92" w:rsidRDefault="00D258A9" w:rsidP="00E31BFA">
            <w:pPr>
              <w:spacing w:after="240"/>
              <w:jc w:val="center"/>
              <w:rPr>
                <w:rFonts w:ascii="Arial" w:hAnsi="Arial" w:cs="Arial"/>
                <w:b/>
                <w:sz w:val="24"/>
              </w:rPr>
            </w:pPr>
            <w:r>
              <w:rPr>
                <w:rFonts w:ascii="Arial" w:hAnsi="Arial" w:cs="Arial"/>
                <w:b/>
                <w:sz w:val="24"/>
              </w:rPr>
              <w:t>INFORME CONVENIO ONCE-FEJAR 2011-2016</w:t>
            </w:r>
          </w:p>
        </w:tc>
      </w:tr>
    </w:tbl>
    <w:p w:rsidR="00E366C6" w:rsidRPr="006A6C92" w:rsidRDefault="00E31BFA" w:rsidP="007778D4">
      <w:pPr>
        <w:pStyle w:val="Epgrafe"/>
        <w:rPr>
          <w:rFonts w:ascii="Arial" w:hAnsi="Arial" w:cs="Arial"/>
          <w:sz w:val="24"/>
        </w:rPr>
      </w:pPr>
      <w:r>
        <w:rPr>
          <w:rFonts w:ascii="Arial" w:hAnsi="Arial" w:cs="Arial"/>
          <w:caps/>
          <w:sz w:val="24"/>
        </w:rPr>
        <w:t>OCTUBRE</w:t>
      </w:r>
      <w:r w:rsidR="00F742B7" w:rsidRPr="006A6C92">
        <w:rPr>
          <w:rFonts w:ascii="Arial" w:hAnsi="Arial" w:cs="Arial"/>
          <w:caps/>
          <w:sz w:val="24"/>
        </w:rPr>
        <w:t xml:space="preserve"> </w:t>
      </w:r>
      <w:r w:rsidR="005D7F16" w:rsidRPr="006A6C92">
        <w:rPr>
          <w:rFonts w:ascii="Arial" w:hAnsi="Arial" w:cs="Arial"/>
          <w:caps/>
          <w:sz w:val="24"/>
        </w:rPr>
        <w:t>de 201</w:t>
      </w:r>
      <w:r w:rsidR="00F742B7">
        <w:rPr>
          <w:rFonts w:ascii="Arial" w:hAnsi="Arial" w:cs="Arial"/>
          <w:caps/>
          <w:sz w:val="24"/>
        </w:rPr>
        <w:t>6</w:t>
      </w:r>
    </w:p>
    <w:p w:rsidR="00E366C6" w:rsidRPr="006A6C92" w:rsidRDefault="00E366C6" w:rsidP="009A6EA9">
      <w:pPr>
        <w:rPr>
          <w:rFonts w:ascii="Arial" w:hAnsi="Arial" w:cs="Arial"/>
          <w:sz w:val="24"/>
        </w:rPr>
      </w:pPr>
    </w:p>
    <w:p w:rsidR="00715AFA" w:rsidRPr="006A6C92" w:rsidRDefault="00715AFA" w:rsidP="009A6EA9">
      <w:pPr>
        <w:rPr>
          <w:rFonts w:ascii="Arial" w:hAnsi="Arial" w:cs="Arial"/>
          <w:sz w:val="24"/>
        </w:rPr>
        <w:sectPr w:rsidR="00715AFA" w:rsidRPr="006A6C92">
          <w:footerReference w:type="default" r:id="rId8"/>
          <w:pgSz w:w="11906" w:h="16838"/>
          <w:pgMar w:top="1417" w:right="1701" w:bottom="1417" w:left="1701" w:header="708" w:footer="708" w:gutter="0"/>
          <w:cols w:space="708"/>
          <w:docGrid w:linePitch="360"/>
        </w:sectPr>
      </w:pPr>
    </w:p>
    <w:p w:rsidR="002E1451" w:rsidRPr="006A6C92" w:rsidRDefault="00753AEF" w:rsidP="00585EB7">
      <w:pPr>
        <w:pStyle w:val="Ttulo1"/>
        <w:numPr>
          <w:ilvl w:val="0"/>
          <w:numId w:val="5"/>
        </w:numPr>
        <w:rPr>
          <w:sz w:val="24"/>
          <w:szCs w:val="24"/>
        </w:rPr>
      </w:pPr>
      <w:r w:rsidRPr="006A6C92">
        <w:rPr>
          <w:sz w:val="24"/>
          <w:szCs w:val="24"/>
        </w:rPr>
        <w:lastRenderedPageBreak/>
        <w:t xml:space="preserve">Objeto del </w:t>
      </w:r>
      <w:r w:rsidR="00755822" w:rsidRPr="006A6C92">
        <w:rPr>
          <w:sz w:val="24"/>
          <w:szCs w:val="24"/>
        </w:rPr>
        <w:t>I</w:t>
      </w:r>
      <w:r w:rsidRPr="006A6C92">
        <w:rPr>
          <w:sz w:val="24"/>
          <w:szCs w:val="24"/>
        </w:rPr>
        <w:t>nforme</w:t>
      </w:r>
    </w:p>
    <w:p w:rsidR="00F742B7" w:rsidRDefault="00702A36" w:rsidP="004A1CD5">
      <w:pPr>
        <w:spacing w:before="0" w:after="0" w:line="240" w:lineRule="auto"/>
        <w:rPr>
          <w:rFonts w:ascii="Arial" w:hAnsi="Arial" w:cs="Arial"/>
          <w:sz w:val="24"/>
        </w:rPr>
      </w:pPr>
      <w:r>
        <w:rPr>
          <w:rFonts w:ascii="Arial" w:hAnsi="Arial" w:cs="Arial"/>
          <w:sz w:val="24"/>
        </w:rPr>
        <w:t xml:space="preserve">El siguiente informe presenta </w:t>
      </w:r>
      <w:r w:rsidR="00E97E4F">
        <w:rPr>
          <w:rFonts w:ascii="Arial" w:hAnsi="Arial" w:cs="Arial"/>
          <w:sz w:val="24"/>
        </w:rPr>
        <w:t>el resultado del C</w:t>
      </w:r>
      <w:r w:rsidR="00D258A9">
        <w:rPr>
          <w:rFonts w:ascii="Arial" w:hAnsi="Arial" w:cs="Arial"/>
          <w:sz w:val="24"/>
        </w:rPr>
        <w:t>onvenio</w:t>
      </w:r>
      <w:r w:rsidR="00E97E4F">
        <w:rPr>
          <w:rFonts w:ascii="Arial" w:hAnsi="Arial" w:cs="Arial"/>
          <w:sz w:val="24"/>
        </w:rPr>
        <w:t xml:space="preserve"> de Colaboración</w:t>
      </w:r>
      <w:r w:rsidR="00D258A9">
        <w:rPr>
          <w:rFonts w:ascii="Arial" w:hAnsi="Arial" w:cs="Arial"/>
          <w:sz w:val="24"/>
        </w:rPr>
        <w:t xml:space="preserve"> entre ONCE y FEJAR de los últimos 5 años (2011-2016)</w:t>
      </w:r>
      <w:r w:rsidR="002D75B2">
        <w:rPr>
          <w:rFonts w:ascii="Arial" w:hAnsi="Arial" w:cs="Arial"/>
          <w:sz w:val="24"/>
        </w:rPr>
        <w:t xml:space="preserve">. </w:t>
      </w:r>
    </w:p>
    <w:p w:rsidR="00D258A9" w:rsidRPr="006A6C92" w:rsidRDefault="00D258A9" w:rsidP="004A1CD5">
      <w:pPr>
        <w:spacing w:before="0" w:after="0" w:line="240" w:lineRule="auto"/>
        <w:rPr>
          <w:rFonts w:ascii="Arial" w:hAnsi="Arial" w:cs="Arial"/>
          <w:sz w:val="24"/>
        </w:rPr>
      </w:pPr>
    </w:p>
    <w:p w:rsidR="009F162D" w:rsidRPr="006A6C92" w:rsidRDefault="007E2C33" w:rsidP="00585EB7">
      <w:pPr>
        <w:pStyle w:val="Ttulo1"/>
        <w:numPr>
          <w:ilvl w:val="0"/>
          <w:numId w:val="5"/>
        </w:numPr>
        <w:rPr>
          <w:sz w:val="24"/>
          <w:szCs w:val="24"/>
        </w:rPr>
      </w:pPr>
      <w:r>
        <w:rPr>
          <w:sz w:val="24"/>
          <w:szCs w:val="24"/>
        </w:rPr>
        <w:t>Historia</w:t>
      </w:r>
    </w:p>
    <w:p w:rsidR="00E97E4F" w:rsidRDefault="00E97E4F" w:rsidP="000B4E45">
      <w:pPr>
        <w:autoSpaceDE w:val="0"/>
        <w:autoSpaceDN w:val="0"/>
        <w:adjustRightInd w:val="0"/>
        <w:spacing w:before="0" w:after="0" w:line="240" w:lineRule="auto"/>
        <w:rPr>
          <w:rFonts w:ascii="Arial" w:hAnsi="Arial" w:cs="Arial"/>
          <w:sz w:val="24"/>
        </w:rPr>
      </w:pPr>
      <w:r>
        <w:rPr>
          <w:rFonts w:ascii="Arial" w:hAnsi="Arial" w:cs="Arial"/>
          <w:sz w:val="24"/>
        </w:rPr>
        <w:t xml:space="preserve">El Convenio de Colaboración entre ONCE y FEJAR fue firmado el 16 de diciembre de 2010 tras diversas conversaciones previas entre ambas partes. El objetivo principal del convenio tal y como aparece en el mismo es el de: </w:t>
      </w:r>
    </w:p>
    <w:p w:rsidR="00702A36" w:rsidRDefault="00702A36" w:rsidP="000B4E45">
      <w:pPr>
        <w:autoSpaceDE w:val="0"/>
        <w:autoSpaceDN w:val="0"/>
        <w:adjustRightInd w:val="0"/>
        <w:spacing w:before="0" w:after="0" w:line="240" w:lineRule="auto"/>
        <w:rPr>
          <w:rFonts w:ascii="Arial" w:hAnsi="Arial" w:cs="Arial"/>
          <w:i/>
          <w:sz w:val="24"/>
        </w:rPr>
      </w:pPr>
    </w:p>
    <w:p w:rsidR="000B4E45" w:rsidRPr="00E97E4F" w:rsidRDefault="00702A36" w:rsidP="000B4E45">
      <w:pPr>
        <w:autoSpaceDE w:val="0"/>
        <w:autoSpaceDN w:val="0"/>
        <w:adjustRightInd w:val="0"/>
        <w:spacing w:before="0" w:after="0" w:line="240" w:lineRule="auto"/>
        <w:rPr>
          <w:rFonts w:ascii="Arial" w:hAnsi="Arial" w:cs="Arial"/>
          <w:i/>
          <w:sz w:val="24"/>
        </w:rPr>
      </w:pPr>
      <w:r>
        <w:rPr>
          <w:rFonts w:ascii="Arial" w:hAnsi="Arial" w:cs="Arial"/>
          <w:i/>
          <w:sz w:val="24"/>
        </w:rPr>
        <w:tab/>
      </w:r>
      <w:r w:rsidR="00E97E4F" w:rsidRPr="00E97E4F">
        <w:rPr>
          <w:rFonts w:ascii="Arial" w:hAnsi="Arial" w:cs="Arial"/>
          <w:i/>
          <w:sz w:val="24"/>
        </w:rPr>
        <w:t>“</w:t>
      </w:r>
      <w:r>
        <w:rPr>
          <w:rFonts w:ascii="Arial" w:hAnsi="Arial" w:cs="Arial"/>
          <w:i/>
          <w:sz w:val="24"/>
        </w:rPr>
        <w:t>…</w:t>
      </w:r>
      <w:r w:rsidR="00E97E4F" w:rsidRPr="00E97E4F">
        <w:rPr>
          <w:rFonts w:ascii="Arial" w:hAnsi="Arial" w:cs="Arial"/>
          <w:i/>
          <w:sz w:val="24"/>
        </w:rPr>
        <w:t>la lucha contra el juego desordenado y sus efectos perjudiciales para las personas afectadas en particular y para la sociedad en general, por lo que es importante trasladar a la sociedad los riesgos inherentes a dicha práctica desordenada.”</w:t>
      </w:r>
    </w:p>
    <w:p w:rsidR="006E77B3" w:rsidRDefault="006E77B3" w:rsidP="008200EC">
      <w:pPr>
        <w:autoSpaceDE w:val="0"/>
        <w:autoSpaceDN w:val="0"/>
        <w:adjustRightInd w:val="0"/>
        <w:spacing w:before="0" w:after="0" w:line="240" w:lineRule="auto"/>
        <w:rPr>
          <w:rFonts w:ascii="Arial" w:hAnsi="Arial" w:cs="Arial"/>
          <w:sz w:val="24"/>
        </w:rPr>
      </w:pPr>
    </w:p>
    <w:p w:rsidR="00E97E4F" w:rsidRDefault="00E97E4F" w:rsidP="008200EC">
      <w:pPr>
        <w:autoSpaceDE w:val="0"/>
        <w:autoSpaceDN w:val="0"/>
        <w:adjustRightInd w:val="0"/>
        <w:spacing w:before="0" w:after="0" w:line="240" w:lineRule="auto"/>
        <w:rPr>
          <w:rFonts w:ascii="Arial" w:hAnsi="Arial" w:cs="Arial"/>
          <w:sz w:val="24"/>
        </w:rPr>
      </w:pPr>
      <w:r>
        <w:rPr>
          <w:rFonts w:ascii="Arial" w:hAnsi="Arial" w:cs="Arial"/>
          <w:sz w:val="24"/>
        </w:rPr>
        <w:t>Dentro del mismo se acordaron las siguientes</w:t>
      </w:r>
      <w:r w:rsidR="008D1BB8">
        <w:rPr>
          <w:rFonts w:ascii="Arial" w:hAnsi="Arial" w:cs="Arial"/>
          <w:sz w:val="24"/>
        </w:rPr>
        <w:t xml:space="preserve"> 6</w:t>
      </w:r>
      <w:r>
        <w:rPr>
          <w:rFonts w:ascii="Arial" w:hAnsi="Arial" w:cs="Arial"/>
          <w:sz w:val="24"/>
        </w:rPr>
        <w:t xml:space="preserve"> actuaciones:</w:t>
      </w:r>
    </w:p>
    <w:p w:rsidR="00E97E4F" w:rsidRDefault="00E97E4F" w:rsidP="008200EC">
      <w:pPr>
        <w:autoSpaceDE w:val="0"/>
        <w:autoSpaceDN w:val="0"/>
        <w:adjustRightInd w:val="0"/>
        <w:spacing w:before="0" w:after="0" w:line="240" w:lineRule="auto"/>
        <w:rPr>
          <w:rFonts w:ascii="Arial" w:hAnsi="Arial" w:cs="Arial"/>
          <w:sz w:val="24"/>
        </w:rPr>
      </w:pPr>
    </w:p>
    <w:p w:rsidR="00E97E4F" w:rsidRDefault="00E97E4F" w:rsidP="00E97E4F">
      <w:pPr>
        <w:numPr>
          <w:ilvl w:val="0"/>
          <w:numId w:val="18"/>
        </w:numPr>
        <w:autoSpaceDE w:val="0"/>
        <w:autoSpaceDN w:val="0"/>
        <w:adjustRightInd w:val="0"/>
        <w:spacing w:before="0" w:after="0" w:line="240" w:lineRule="auto"/>
        <w:rPr>
          <w:rFonts w:ascii="Arial" w:hAnsi="Arial" w:cs="Arial"/>
          <w:sz w:val="24"/>
        </w:rPr>
      </w:pPr>
      <w:r w:rsidRPr="00E97E4F">
        <w:rPr>
          <w:rFonts w:ascii="Arial" w:hAnsi="Arial" w:cs="Arial"/>
          <w:sz w:val="24"/>
        </w:rPr>
        <w:t>Convocatoria de un certamen de investigación sobre el juego responsable</w:t>
      </w:r>
    </w:p>
    <w:p w:rsidR="00E97E4F" w:rsidRDefault="00E97E4F" w:rsidP="00E97E4F">
      <w:pPr>
        <w:numPr>
          <w:ilvl w:val="0"/>
          <w:numId w:val="18"/>
        </w:numPr>
        <w:autoSpaceDE w:val="0"/>
        <w:autoSpaceDN w:val="0"/>
        <w:adjustRightInd w:val="0"/>
        <w:spacing w:before="0" w:after="0" w:line="240" w:lineRule="auto"/>
        <w:rPr>
          <w:rFonts w:ascii="Arial" w:hAnsi="Arial" w:cs="Arial"/>
          <w:sz w:val="24"/>
        </w:rPr>
      </w:pPr>
      <w:r w:rsidRPr="00E97E4F">
        <w:rPr>
          <w:rFonts w:ascii="Arial" w:hAnsi="Arial" w:cs="Arial"/>
          <w:sz w:val="24"/>
        </w:rPr>
        <w:t>Información a la sociedad</w:t>
      </w:r>
      <w:r w:rsidR="00E81E1E">
        <w:rPr>
          <w:rFonts w:ascii="Arial" w:hAnsi="Arial" w:cs="Arial"/>
          <w:sz w:val="24"/>
        </w:rPr>
        <w:t xml:space="preserve"> de los efectos del juego excesivo y su prevención.</w:t>
      </w:r>
    </w:p>
    <w:p w:rsidR="00E97E4F" w:rsidRDefault="00E97E4F" w:rsidP="00E81E1E">
      <w:pPr>
        <w:numPr>
          <w:ilvl w:val="0"/>
          <w:numId w:val="18"/>
        </w:numPr>
        <w:autoSpaceDE w:val="0"/>
        <w:autoSpaceDN w:val="0"/>
        <w:adjustRightInd w:val="0"/>
        <w:spacing w:before="0" w:after="0" w:line="240" w:lineRule="auto"/>
        <w:rPr>
          <w:rFonts w:ascii="Arial" w:hAnsi="Arial" w:cs="Arial"/>
          <w:sz w:val="24"/>
        </w:rPr>
      </w:pPr>
      <w:r w:rsidRPr="00E97E4F">
        <w:rPr>
          <w:rFonts w:ascii="Arial" w:hAnsi="Arial" w:cs="Arial"/>
          <w:sz w:val="24"/>
        </w:rPr>
        <w:t>Valoración de los riesgos de los juegos</w:t>
      </w:r>
      <w:r w:rsidR="00E81E1E">
        <w:rPr>
          <w:rFonts w:ascii="Arial" w:hAnsi="Arial" w:cs="Arial"/>
          <w:sz w:val="24"/>
        </w:rPr>
        <w:t xml:space="preserve"> de ONCE.</w:t>
      </w:r>
    </w:p>
    <w:p w:rsidR="00E97E4F" w:rsidRDefault="00E97E4F" w:rsidP="00E81E1E">
      <w:pPr>
        <w:numPr>
          <w:ilvl w:val="0"/>
          <w:numId w:val="18"/>
        </w:numPr>
        <w:autoSpaceDE w:val="0"/>
        <w:autoSpaceDN w:val="0"/>
        <w:adjustRightInd w:val="0"/>
        <w:spacing w:before="0" w:after="0" w:line="240" w:lineRule="auto"/>
        <w:rPr>
          <w:rFonts w:ascii="Arial" w:hAnsi="Arial" w:cs="Arial"/>
          <w:sz w:val="24"/>
        </w:rPr>
      </w:pPr>
      <w:r w:rsidRPr="00E97E4F">
        <w:rPr>
          <w:rFonts w:ascii="Arial" w:hAnsi="Arial" w:cs="Arial"/>
          <w:sz w:val="24"/>
        </w:rPr>
        <w:t>Formación sobre juego responsable de los empleados y vendedores de la ONCE</w:t>
      </w:r>
      <w:r w:rsidR="00E81E1E">
        <w:rPr>
          <w:rFonts w:ascii="Arial" w:hAnsi="Arial" w:cs="Arial"/>
          <w:sz w:val="24"/>
        </w:rPr>
        <w:t>.</w:t>
      </w:r>
    </w:p>
    <w:p w:rsidR="00E97E4F" w:rsidRDefault="00E81E1E" w:rsidP="00E81E1E">
      <w:pPr>
        <w:numPr>
          <w:ilvl w:val="0"/>
          <w:numId w:val="18"/>
        </w:numPr>
        <w:autoSpaceDE w:val="0"/>
        <w:autoSpaceDN w:val="0"/>
        <w:adjustRightInd w:val="0"/>
        <w:spacing w:before="0" w:after="0" w:line="240" w:lineRule="auto"/>
        <w:rPr>
          <w:rFonts w:ascii="Arial" w:hAnsi="Arial" w:cs="Arial"/>
          <w:sz w:val="24"/>
        </w:rPr>
      </w:pPr>
      <w:r>
        <w:rPr>
          <w:rFonts w:ascii="Arial" w:hAnsi="Arial" w:cs="Arial"/>
          <w:sz w:val="24"/>
        </w:rPr>
        <w:t>Medidas e información de juego responsable en la w</w:t>
      </w:r>
      <w:r w:rsidR="00E97E4F" w:rsidRPr="00E97E4F">
        <w:rPr>
          <w:rFonts w:ascii="Arial" w:hAnsi="Arial" w:cs="Arial"/>
          <w:sz w:val="24"/>
        </w:rPr>
        <w:t>eb oficial de juego de la ONCE</w:t>
      </w:r>
      <w:r>
        <w:rPr>
          <w:rFonts w:ascii="Arial" w:hAnsi="Arial" w:cs="Arial"/>
          <w:sz w:val="24"/>
        </w:rPr>
        <w:t>.</w:t>
      </w:r>
    </w:p>
    <w:p w:rsidR="00E97E4F" w:rsidRDefault="00E97E4F" w:rsidP="00E81E1E">
      <w:pPr>
        <w:numPr>
          <w:ilvl w:val="0"/>
          <w:numId w:val="18"/>
        </w:numPr>
        <w:autoSpaceDE w:val="0"/>
        <w:autoSpaceDN w:val="0"/>
        <w:adjustRightInd w:val="0"/>
        <w:spacing w:before="0" w:after="0" w:line="240" w:lineRule="auto"/>
        <w:rPr>
          <w:rFonts w:ascii="Arial" w:hAnsi="Arial" w:cs="Arial"/>
          <w:sz w:val="24"/>
        </w:rPr>
      </w:pPr>
      <w:r w:rsidRPr="00E97E4F">
        <w:rPr>
          <w:rFonts w:ascii="Arial" w:hAnsi="Arial" w:cs="Arial"/>
          <w:sz w:val="24"/>
        </w:rPr>
        <w:t>Publicidad de los Juegos de Azar</w:t>
      </w:r>
      <w:r w:rsidR="00E81E1E">
        <w:rPr>
          <w:rFonts w:ascii="Arial" w:hAnsi="Arial" w:cs="Arial"/>
          <w:sz w:val="24"/>
        </w:rPr>
        <w:t xml:space="preserve"> según </w:t>
      </w:r>
      <w:r w:rsidR="00304518">
        <w:rPr>
          <w:rFonts w:ascii="Arial" w:hAnsi="Arial" w:cs="Arial"/>
          <w:sz w:val="24"/>
        </w:rPr>
        <w:t>las</w:t>
      </w:r>
      <w:r w:rsidR="00E81E1E">
        <w:rPr>
          <w:rFonts w:ascii="Arial" w:hAnsi="Arial" w:cs="Arial"/>
          <w:sz w:val="24"/>
        </w:rPr>
        <w:t xml:space="preserve"> Mejores Prácticas de Marketing de la Asociación Mundial de Loterías (WLA).</w:t>
      </w:r>
    </w:p>
    <w:p w:rsidR="007E2C33" w:rsidRDefault="007E2C33" w:rsidP="008200EC">
      <w:pPr>
        <w:autoSpaceDE w:val="0"/>
        <w:autoSpaceDN w:val="0"/>
        <w:adjustRightInd w:val="0"/>
        <w:spacing w:before="0" w:after="0" w:line="240" w:lineRule="auto"/>
        <w:rPr>
          <w:rFonts w:ascii="Arial" w:hAnsi="Arial" w:cs="Arial"/>
          <w:sz w:val="24"/>
        </w:rPr>
      </w:pPr>
    </w:p>
    <w:p w:rsidR="00E81E1E" w:rsidRDefault="00E81E1E" w:rsidP="008200EC">
      <w:pPr>
        <w:autoSpaceDE w:val="0"/>
        <w:autoSpaceDN w:val="0"/>
        <w:adjustRightInd w:val="0"/>
        <w:spacing w:before="0" w:after="0" w:line="240" w:lineRule="auto"/>
        <w:rPr>
          <w:rFonts w:ascii="Arial" w:hAnsi="Arial" w:cs="Arial"/>
          <w:sz w:val="24"/>
        </w:rPr>
      </w:pPr>
      <w:r>
        <w:rPr>
          <w:rFonts w:ascii="Arial" w:hAnsi="Arial" w:cs="Arial"/>
          <w:sz w:val="24"/>
        </w:rPr>
        <w:t>También se incluye la creación de una Comisión de Seguimiento del Convenio con una reunión ordinaria anual.</w:t>
      </w:r>
    </w:p>
    <w:p w:rsidR="00E81E1E" w:rsidRDefault="00E81E1E" w:rsidP="008200EC">
      <w:pPr>
        <w:autoSpaceDE w:val="0"/>
        <w:autoSpaceDN w:val="0"/>
        <w:adjustRightInd w:val="0"/>
        <w:spacing w:before="0" w:after="0" w:line="240" w:lineRule="auto"/>
        <w:rPr>
          <w:rFonts w:ascii="Arial" w:hAnsi="Arial" w:cs="Arial"/>
          <w:sz w:val="24"/>
        </w:rPr>
      </w:pPr>
    </w:p>
    <w:p w:rsidR="007E2C33" w:rsidRPr="007E2C33" w:rsidRDefault="007E2C33" w:rsidP="007E2C33">
      <w:pPr>
        <w:pStyle w:val="Ttulo1"/>
        <w:numPr>
          <w:ilvl w:val="0"/>
          <w:numId w:val="5"/>
        </w:numPr>
        <w:rPr>
          <w:sz w:val="24"/>
          <w:szCs w:val="24"/>
        </w:rPr>
      </w:pPr>
      <w:r w:rsidRPr="007E2C33">
        <w:rPr>
          <w:sz w:val="24"/>
          <w:szCs w:val="24"/>
        </w:rPr>
        <w:t>Acciones realizadas</w:t>
      </w:r>
    </w:p>
    <w:p w:rsidR="007E2C33" w:rsidRDefault="008D1BB8" w:rsidP="008200EC">
      <w:pPr>
        <w:autoSpaceDE w:val="0"/>
        <w:autoSpaceDN w:val="0"/>
        <w:adjustRightInd w:val="0"/>
        <w:spacing w:before="0" w:after="0" w:line="240" w:lineRule="auto"/>
        <w:rPr>
          <w:rFonts w:ascii="Arial" w:hAnsi="Arial" w:cs="Arial"/>
          <w:sz w:val="24"/>
        </w:rPr>
      </w:pPr>
      <w:r>
        <w:rPr>
          <w:rFonts w:ascii="Arial" w:hAnsi="Arial" w:cs="Arial"/>
          <w:sz w:val="24"/>
        </w:rPr>
        <w:t>Siguiendo las 6 actuaciones recogidas en el Convenio en este período se han realizado las siguientes acciones:</w:t>
      </w:r>
    </w:p>
    <w:p w:rsidR="008D1BB8" w:rsidRDefault="008D1BB8" w:rsidP="008200EC">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Convocatoria de un certamen de investigación sobre el juego responsable</w:t>
      </w:r>
    </w:p>
    <w:p w:rsid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autoSpaceDE w:val="0"/>
        <w:autoSpaceDN w:val="0"/>
        <w:adjustRightInd w:val="0"/>
        <w:spacing w:before="0" w:after="0" w:line="240" w:lineRule="auto"/>
        <w:rPr>
          <w:rFonts w:ascii="Arial" w:hAnsi="Arial" w:cs="Arial"/>
          <w:sz w:val="24"/>
        </w:rPr>
      </w:pPr>
      <w:r>
        <w:rPr>
          <w:rFonts w:ascii="Arial" w:hAnsi="Arial" w:cs="Arial"/>
          <w:sz w:val="24"/>
        </w:rPr>
        <w:t>E</w:t>
      </w:r>
      <w:r w:rsidRPr="008D1BB8">
        <w:rPr>
          <w:rFonts w:ascii="Arial" w:hAnsi="Arial" w:cs="Arial"/>
          <w:sz w:val="24"/>
        </w:rPr>
        <w:t xml:space="preserve">l Certamen Internacional ONCE de Investigación sobre Juego Responsable, que ya va por su tercera edición, </w:t>
      </w:r>
      <w:r>
        <w:rPr>
          <w:rFonts w:ascii="Arial" w:hAnsi="Arial" w:cs="Arial"/>
          <w:sz w:val="24"/>
        </w:rPr>
        <w:t xml:space="preserve">es una de </w:t>
      </w:r>
      <w:r w:rsidRPr="008D1BB8">
        <w:rPr>
          <w:rFonts w:ascii="Arial" w:hAnsi="Arial" w:cs="Arial"/>
          <w:sz w:val="24"/>
        </w:rPr>
        <w:t>la</w:t>
      </w:r>
      <w:r>
        <w:rPr>
          <w:rFonts w:ascii="Arial" w:hAnsi="Arial" w:cs="Arial"/>
          <w:sz w:val="24"/>
        </w:rPr>
        <w:t>s</w:t>
      </w:r>
      <w:r w:rsidRPr="008D1BB8">
        <w:rPr>
          <w:rFonts w:ascii="Arial" w:hAnsi="Arial" w:cs="Arial"/>
          <w:sz w:val="24"/>
        </w:rPr>
        <w:t xml:space="preserve"> acci</w:t>
      </w:r>
      <w:r>
        <w:rPr>
          <w:rFonts w:ascii="Arial" w:hAnsi="Arial" w:cs="Arial"/>
          <w:sz w:val="24"/>
        </w:rPr>
        <w:t>o</w:t>
      </w:r>
      <w:r w:rsidRPr="008D1BB8">
        <w:rPr>
          <w:rFonts w:ascii="Arial" w:hAnsi="Arial" w:cs="Arial"/>
          <w:sz w:val="24"/>
        </w:rPr>
        <w:t>n</w:t>
      </w:r>
      <w:r>
        <w:rPr>
          <w:rFonts w:ascii="Arial" w:hAnsi="Arial" w:cs="Arial"/>
          <w:sz w:val="24"/>
        </w:rPr>
        <w:t>es</w:t>
      </w:r>
      <w:r w:rsidRPr="008D1BB8">
        <w:rPr>
          <w:rFonts w:ascii="Arial" w:hAnsi="Arial" w:cs="Arial"/>
          <w:sz w:val="24"/>
        </w:rPr>
        <w:t xml:space="preserve"> más emblemática</w:t>
      </w:r>
      <w:r>
        <w:rPr>
          <w:rFonts w:ascii="Arial" w:hAnsi="Arial" w:cs="Arial"/>
          <w:sz w:val="24"/>
        </w:rPr>
        <w:t>s</w:t>
      </w:r>
      <w:r w:rsidRPr="008D1BB8">
        <w:rPr>
          <w:rFonts w:ascii="Arial" w:hAnsi="Arial" w:cs="Arial"/>
          <w:sz w:val="24"/>
        </w:rPr>
        <w:t xml:space="preserve"> por su prestigio académico que lleva a cabo </w:t>
      </w:r>
      <w:r>
        <w:rPr>
          <w:rFonts w:ascii="Arial" w:hAnsi="Arial" w:cs="Arial"/>
          <w:sz w:val="24"/>
        </w:rPr>
        <w:t xml:space="preserve">ONCE en materia de Juego Responsable. </w:t>
      </w:r>
      <w:r w:rsidR="00702A36">
        <w:rPr>
          <w:rFonts w:ascii="Arial" w:hAnsi="Arial" w:cs="Arial"/>
          <w:sz w:val="24"/>
        </w:rPr>
        <w:t>En este Certamen FEJAR participa directamente siendo parte del Jurado y asistiendo a todos los eventos relacionados como la presentación del ganador.</w:t>
      </w:r>
    </w:p>
    <w:p w:rsidR="008D1BB8" w:rsidRP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autoSpaceDE w:val="0"/>
        <w:autoSpaceDN w:val="0"/>
        <w:adjustRightInd w:val="0"/>
        <w:spacing w:before="0" w:after="0" w:line="240" w:lineRule="auto"/>
        <w:rPr>
          <w:rFonts w:ascii="Arial" w:hAnsi="Arial" w:cs="Arial"/>
          <w:sz w:val="24"/>
        </w:rPr>
      </w:pPr>
      <w:r w:rsidRPr="008D1BB8">
        <w:rPr>
          <w:rFonts w:ascii="Arial" w:hAnsi="Arial" w:cs="Arial"/>
          <w:sz w:val="24"/>
        </w:rPr>
        <w:t xml:space="preserve">En la primera convocatoria el trabajo ganador tenía por objeto fomentar la investigación de las variables que posibilitan la irrupción de alteraciones </w:t>
      </w:r>
      <w:r w:rsidRPr="008D1BB8">
        <w:rPr>
          <w:rFonts w:ascii="Arial" w:hAnsi="Arial" w:cs="Arial"/>
          <w:sz w:val="24"/>
        </w:rPr>
        <w:lastRenderedPageBreak/>
        <w:t xml:space="preserve">conductuales con relación al juego de azar desde distintas perspectivas, con el fin último de identificar, relacionar y establecer un mapa relacional de los factores de riesgo inherentes a los juegos de azar que puedan activar los procesos psicosociales que subrayan su adicción. </w:t>
      </w:r>
    </w:p>
    <w:p w:rsidR="008D1BB8" w:rsidRP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autoSpaceDE w:val="0"/>
        <w:autoSpaceDN w:val="0"/>
        <w:adjustRightInd w:val="0"/>
        <w:spacing w:before="0" w:after="0" w:line="240" w:lineRule="auto"/>
        <w:rPr>
          <w:rFonts w:ascii="Arial" w:hAnsi="Arial" w:cs="Arial"/>
          <w:sz w:val="24"/>
        </w:rPr>
      </w:pPr>
      <w:r w:rsidRPr="008D1BB8">
        <w:rPr>
          <w:rFonts w:ascii="Arial" w:hAnsi="Arial" w:cs="Arial"/>
          <w:sz w:val="24"/>
        </w:rPr>
        <w:t>En la segunda</w:t>
      </w:r>
      <w:r w:rsidR="0073443B">
        <w:rPr>
          <w:rFonts w:ascii="Arial" w:hAnsi="Arial" w:cs="Arial"/>
          <w:sz w:val="24"/>
        </w:rPr>
        <w:t xml:space="preserve"> convocatoria</w:t>
      </w:r>
      <w:r w:rsidRPr="008D1BB8">
        <w:rPr>
          <w:rFonts w:ascii="Arial" w:hAnsi="Arial" w:cs="Arial"/>
          <w:sz w:val="24"/>
        </w:rPr>
        <w:t xml:space="preserve"> resultó ganador un proyecto que tiene por objeto la implementación de un sistema experto online para la identificación e intervención en problemas de juego.</w:t>
      </w:r>
    </w:p>
    <w:p w:rsidR="008D1BB8" w:rsidRP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autoSpaceDE w:val="0"/>
        <w:autoSpaceDN w:val="0"/>
        <w:adjustRightInd w:val="0"/>
        <w:spacing w:before="0" w:after="0" w:line="240" w:lineRule="auto"/>
        <w:rPr>
          <w:rFonts w:ascii="Arial" w:hAnsi="Arial" w:cs="Arial"/>
          <w:sz w:val="24"/>
        </w:rPr>
      </w:pPr>
      <w:r w:rsidRPr="008D1BB8">
        <w:rPr>
          <w:rFonts w:ascii="Arial" w:hAnsi="Arial" w:cs="Arial"/>
          <w:sz w:val="24"/>
        </w:rPr>
        <w:t>En esta tercera convocatoria, fallada el pasado mes de marzo</w:t>
      </w:r>
      <w:r w:rsidR="0073443B">
        <w:rPr>
          <w:rFonts w:ascii="Arial" w:hAnsi="Arial" w:cs="Arial"/>
          <w:sz w:val="24"/>
        </w:rPr>
        <w:t xml:space="preserve"> de 2016</w:t>
      </w:r>
      <w:r w:rsidRPr="008D1BB8">
        <w:rPr>
          <w:rFonts w:ascii="Arial" w:hAnsi="Arial" w:cs="Arial"/>
          <w:sz w:val="24"/>
        </w:rPr>
        <w:t>, la ONCE pretendía estimular la promoción de investigaciones científicas conducentes a identificar los efectos de la publicidad convencional en los comportamientos desordenados relacionados con los juegos de azar, lo que ha de facilitar el desarrollo futuro de campañas y estrategias publicitarias y de comunicación más adecuadas bajo esta perspectiva.</w:t>
      </w:r>
    </w:p>
    <w:p w:rsidR="008D1BB8" w:rsidRP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autoSpaceDE w:val="0"/>
        <w:autoSpaceDN w:val="0"/>
        <w:adjustRightInd w:val="0"/>
        <w:spacing w:before="0" w:after="0" w:line="240" w:lineRule="auto"/>
        <w:rPr>
          <w:rFonts w:ascii="Arial" w:hAnsi="Arial" w:cs="Arial"/>
          <w:sz w:val="24"/>
        </w:rPr>
      </w:pPr>
      <w:r w:rsidRPr="008D1BB8">
        <w:rPr>
          <w:rFonts w:ascii="Arial" w:hAnsi="Arial" w:cs="Arial"/>
          <w:sz w:val="24"/>
        </w:rPr>
        <w:t xml:space="preserve">El tribunal reunido en Madrid concedió el premio a la Universidad de Deusto por su trabajo ‘Influencia de la publicidad comercial en la conducta de riesgo de los jóvenes en las apuestas deportivas: guía para reguladores, operadores, instituciones y medios’. </w:t>
      </w:r>
    </w:p>
    <w:p w:rsidR="008D1BB8" w:rsidRDefault="008D1BB8" w:rsidP="008D1BB8">
      <w:pPr>
        <w:autoSpaceDE w:val="0"/>
        <w:autoSpaceDN w:val="0"/>
        <w:adjustRightInd w:val="0"/>
        <w:spacing w:before="0" w:after="0" w:line="240" w:lineRule="auto"/>
        <w:rPr>
          <w:rFonts w:ascii="Arial" w:hAnsi="Arial" w:cs="Arial"/>
          <w:sz w:val="24"/>
        </w:rPr>
      </w:pPr>
    </w:p>
    <w:p w:rsid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Información a la sociedad de los efectos del juego excesivo y su prevención.</w:t>
      </w:r>
    </w:p>
    <w:p w:rsidR="008D1BB8" w:rsidRDefault="008D1BB8" w:rsidP="008D1BB8">
      <w:pPr>
        <w:autoSpaceDE w:val="0"/>
        <w:autoSpaceDN w:val="0"/>
        <w:adjustRightInd w:val="0"/>
        <w:spacing w:before="0" w:after="0" w:line="240" w:lineRule="auto"/>
        <w:rPr>
          <w:rFonts w:ascii="Arial" w:hAnsi="Arial" w:cs="Arial"/>
          <w:sz w:val="24"/>
        </w:rPr>
      </w:pPr>
    </w:p>
    <w:p w:rsidR="008D1BB8"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 xml:space="preserve">En </w:t>
      </w:r>
      <w:r w:rsidR="00702A36">
        <w:rPr>
          <w:rFonts w:ascii="Arial" w:hAnsi="Arial" w:cs="Arial"/>
          <w:sz w:val="24"/>
        </w:rPr>
        <w:t>2011</w:t>
      </w:r>
      <w:r>
        <w:rPr>
          <w:rFonts w:ascii="Arial" w:hAnsi="Arial" w:cs="Arial"/>
          <w:sz w:val="24"/>
        </w:rPr>
        <w:t xml:space="preserve"> </w:t>
      </w:r>
      <w:r w:rsidR="00304518">
        <w:rPr>
          <w:rFonts w:ascii="Arial" w:hAnsi="Arial" w:cs="Arial"/>
          <w:sz w:val="24"/>
        </w:rPr>
        <w:t>ONCE</w:t>
      </w:r>
      <w:r>
        <w:rPr>
          <w:rFonts w:ascii="Arial" w:hAnsi="Arial" w:cs="Arial"/>
          <w:sz w:val="24"/>
        </w:rPr>
        <w:t xml:space="preserve"> </w:t>
      </w:r>
      <w:r w:rsidR="00702A36">
        <w:rPr>
          <w:rFonts w:ascii="Arial" w:hAnsi="Arial" w:cs="Arial"/>
          <w:sz w:val="24"/>
        </w:rPr>
        <w:t>creó</w:t>
      </w:r>
      <w:r w:rsidR="00304518">
        <w:rPr>
          <w:rFonts w:ascii="Arial" w:hAnsi="Arial" w:cs="Arial"/>
          <w:sz w:val="24"/>
        </w:rPr>
        <w:t>, en colaboración con FEJAR,</w:t>
      </w:r>
      <w:r>
        <w:rPr>
          <w:rFonts w:ascii="Arial" w:hAnsi="Arial" w:cs="Arial"/>
          <w:sz w:val="24"/>
        </w:rPr>
        <w:t xml:space="preserve"> un folleto informativo para los jugadores</w:t>
      </w:r>
      <w:r w:rsidR="00304518">
        <w:rPr>
          <w:rFonts w:ascii="Arial" w:hAnsi="Arial" w:cs="Arial"/>
          <w:sz w:val="24"/>
        </w:rPr>
        <w:t xml:space="preserve"> (disponible en los puntos de venta de ONCE)</w:t>
      </w:r>
      <w:r>
        <w:rPr>
          <w:rFonts w:ascii="Arial" w:hAnsi="Arial" w:cs="Arial"/>
          <w:sz w:val="24"/>
        </w:rPr>
        <w:t xml:space="preserve"> con los posibles riesgos del juego compulsivo</w:t>
      </w:r>
      <w:r w:rsidR="007171C0">
        <w:rPr>
          <w:rFonts w:ascii="Arial" w:hAnsi="Arial" w:cs="Arial"/>
          <w:sz w:val="24"/>
        </w:rPr>
        <w:t xml:space="preserve"> y en el que se incluye toda la información </w:t>
      </w:r>
      <w:r w:rsidR="00702A36">
        <w:rPr>
          <w:rFonts w:ascii="Arial" w:hAnsi="Arial" w:cs="Arial"/>
          <w:sz w:val="24"/>
        </w:rPr>
        <w:t>de contacto de</w:t>
      </w:r>
      <w:r w:rsidR="007171C0">
        <w:rPr>
          <w:rFonts w:ascii="Arial" w:hAnsi="Arial" w:cs="Arial"/>
          <w:sz w:val="24"/>
        </w:rPr>
        <w:t xml:space="preserve"> FEJAR</w:t>
      </w:r>
      <w:r>
        <w:rPr>
          <w:rFonts w:ascii="Arial" w:hAnsi="Arial" w:cs="Arial"/>
          <w:sz w:val="24"/>
        </w:rPr>
        <w:t>. Este folleto ha sido actualizado en 2 ocasiones, habiendo sido la última actualización este mismo año 2016.</w:t>
      </w:r>
    </w:p>
    <w:p w:rsidR="00B84233" w:rsidRDefault="00B84233" w:rsidP="008D1BB8">
      <w:pPr>
        <w:autoSpaceDE w:val="0"/>
        <w:autoSpaceDN w:val="0"/>
        <w:adjustRightInd w:val="0"/>
        <w:spacing w:before="0" w:after="0" w:line="240" w:lineRule="auto"/>
        <w:rPr>
          <w:rFonts w:ascii="Arial" w:hAnsi="Arial" w:cs="Arial"/>
          <w:sz w:val="24"/>
        </w:rPr>
      </w:pPr>
    </w:p>
    <w:p w:rsidR="00B84233" w:rsidRDefault="00B84233" w:rsidP="008D1BB8">
      <w:pPr>
        <w:autoSpaceDE w:val="0"/>
        <w:autoSpaceDN w:val="0"/>
        <w:adjustRightInd w:val="0"/>
        <w:spacing w:before="0" w:after="0" w:line="240" w:lineRule="auto"/>
        <w:rPr>
          <w:rFonts w:ascii="Arial" w:hAnsi="Arial" w:cs="Arial"/>
          <w:sz w:val="24"/>
        </w:rPr>
      </w:pPr>
      <w:r>
        <w:rPr>
          <w:rFonts w:ascii="Arial" w:hAnsi="Arial" w:cs="Arial"/>
          <w:sz w:val="24"/>
        </w:rPr>
        <w:t>Además de forma anual ONCE junto con FEJAR lanzan una campaña en radio para la prevención y el tratamiento del juego problemático que año tras año es un éxito avalado por el incremento de llamadas al número de teléfono de atención de FEJAR.</w:t>
      </w:r>
    </w:p>
    <w:p w:rsidR="008D1BB8" w:rsidRDefault="008D1BB8" w:rsidP="008D1BB8">
      <w:pPr>
        <w:autoSpaceDE w:val="0"/>
        <w:autoSpaceDN w:val="0"/>
        <w:adjustRightInd w:val="0"/>
        <w:spacing w:before="0" w:after="0" w:line="240" w:lineRule="auto"/>
        <w:rPr>
          <w:rFonts w:ascii="Arial" w:hAnsi="Arial" w:cs="Arial"/>
          <w:sz w:val="24"/>
        </w:rPr>
      </w:pPr>
    </w:p>
    <w:p w:rsidR="00DF23D2" w:rsidRDefault="00DF23D2" w:rsidP="008D1BB8">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Valoración de los riesgos de los juegos de ONCE.</w:t>
      </w:r>
    </w:p>
    <w:p w:rsidR="008D1BB8" w:rsidRDefault="008D1BB8" w:rsidP="008D1BB8">
      <w:pPr>
        <w:autoSpaceDE w:val="0"/>
        <w:autoSpaceDN w:val="0"/>
        <w:adjustRightInd w:val="0"/>
        <w:spacing w:before="0" w:after="0" w:line="240" w:lineRule="auto"/>
        <w:rPr>
          <w:rFonts w:ascii="Arial" w:hAnsi="Arial" w:cs="Arial"/>
          <w:sz w:val="24"/>
        </w:rPr>
      </w:pPr>
    </w:p>
    <w:p w:rsidR="0073443B"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La ONCE dispone de una herramienta de evaluación del riesgo de los juegos que se utiliza durante la fase de diseño de los juegos. Todos los nuevos juegos son analizados en base a su nivel de riesgo dados unos parámetros y dependiendo del resultado obtenido el juego pasa a la siguiente fase o si se considera oportuno es modificado para minimizar su riesgo.</w:t>
      </w:r>
    </w:p>
    <w:p w:rsidR="0073443B" w:rsidRDefault="0073443B" w:rsidP="008D1BB8">
      <w:pPr>
        <w:autoSpaceDE w:val="0"/>
        <w:autoSpaceDN w:val="0"/>
        <w:adjustRightInd w:val="0"/>
        <w:spacing w:before="0" w:after="0" w:line="240" w:lineRule="auto"/>
        <w:rPr>
          <w:rFonts w:ascii="Arial" w:hAnsi="Arial" w:cs="Arial"/>
          <w:sz w:val="24"/>
        </w:rPr>
      </w:pPr>
    </w:p>
    <w:p w:rsidR="0073443B"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Esta herramienta ha sido actualizada con la colaboración de FEJAR</w:t>
      </w:r>
      <w:r w:rsidR="00702A36">
        <w:rPr>
          <w:rFonts w:ascii="Arial" w:hAnsi="Arial" w:cs="Arial"/>
          <w:sz w:val="24"/>
        </w:rPr>
        <w:t xml:space="preserve"> tras diversas reuniones entre las 2 partes y un </w:t>
      </w:r>
      <w:r>
        <w:rPr>
          <w:rFonts w:ascii="Arial" w:hAnsi="Arial" w:cs="Arial"/>
          <w:sz w:val="24"/>
        </w:rPr>
        <w:t>análisis</w:t>
      </w:r>
      <w:r w:rsidR="00702A36">
        <w:rPr>
          <w:rFonts w:ascii="Arial" w:hAnsi="Arial" w:cs="Arial"/>
          <w:sz w:val="24"/>
        </w:rPr>
        <w:t xml:space="preserve"> detallado por parte de FEJAR. T</w:t>
      </w:r>
      <w:r>
        <w:rPr>
          <w:rFonts w:ascii="Arial" w:hAnsi="Arial" w:cs="Arial"/>
          <w:sz w:val="24"/>
        </w:rPr>
        <w:t xml:space="preserve">odas </w:t>
      </w:r>
      <w:r w:rsidR="00702A36">
        <w:rPr>
          <w:rFonts w:ascii="Arial" w:hAnsi="Arial" w:cs="Arial"/>
          <w:sz w:val="24"/>
        </w:rPr>
        <w:t>las</w:t>
      </w:r>
      <w:r>
        <w:rPr>
          <w:rFonts w:ascii="Arial" w:hAnsi="Arial" w:cs="Arial"/>
          <w:sz w:val="24"/>
        </w:rPr>
        <w:t xml:space="preserve"> sugerencias y comentarios</w:t>
      </w:r>
      <w:r w:rsidR="00702A36">
        <w:rPr>
          <w:rFonts w:ascii="Arial" w:hAnsi="Arial" w:cs="Arial"/>
          <w:sz w:val="24"/>
        </w:rPr>
        <w:t xml:space="preserve"> de FEJAR</w:t>
      </w:r>
      <w:r>
        <w:rPr>
          <w:rFonts w:ascii="Arial" w:hAnsi="Arial" w:cs="Arial"/>
          <w:sz w:val="24"/>
        </w:rPr>
        <w:t xml:space="preserve"> fueron adoptados para mejorar la herramienta.</w:t>
      </w:r>
    </w:p>
    <w:p w:rsidR="008D1BB8" w:rsidRDefault="008D1BB8" w:rsidP="008D1BB8">
      <w:pPr>
        <w:autoSpaceDE w:val="0"/>
        <w:autoSpaceDN w:val="0"/>
        <w:adjustRightInd w:val="0"/>
        <w:spacing w:before="0" w:after="0" w:line="240" w:lineRule="auto"/>
        <w:rPr>
          <w:rFonts w:ascii="Arial" w:hAnsi="Arial" w:cs="Arial"/>
          <w:sz w:val="24"/>
        </w:rPr>
      </w:pPr>
    </w:p>
    <w:p w:rsid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Formación sobre juego responsable de los empleados y vendedores de la ONCE.</w:t>
      </w:r>
    </w:p>
    <w:p w:rsidR="008D1BB8" w:rsidRDefault="008D1BB8" w:rsidP="008D1BB8">
      <w:pPr>
        <w:autoSpaceDE w:val="0"/>
        <w:autoSpaceDN w:val="0"/>
        <w:adjustRightInd w:val="0"/>
        <w:spacing w:before="0" w:after="0" w:line="240" w:lineRule="auto"/>
        <w:rPr>
          <w:rFonts w:ascii="Arial" w:hAnsi="Arial" w:cs="Arial"/>
          <w:sz w:val="24"/>
        </w:rPr>
      </w:pPr>
    </w:p>
    <w:p w:rsidR="0073443B"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 xml:space="preserve">Dentro de la formación de entrada a la compañía y también en la formación anual que reciben los empleados se incluye un apartado específico de juego responsable. </w:t>
      </w:r>
      <w:r w:rsidR="00702A36">
        <w:rPr>
          <w:rFonts w:ascii="Arial" w:hAnsi="Arial" w:cs="Arial"/>
          <w:sz w:val="24"/>
        </w:rPr>
        <w:t xml:space="preserve">Los manuales de formación son revisados y puestos en común con FEJAR. </w:t>
      </w:r>
      <w:r>
        <w:rPr>
          <w:rFonts w:ascii="Arial" w:hAnsi="Arial" w:cs="Arial"/>
          <w:sz w:val="24"/>
        </w:rPr>
        <w:t>La asimilación de los conceptos de juego responsable es verificada en el correspondiente test de conocimientos.</w:t>
      </w:r>
    </w:p>
    <w:p w:rsidR="008D1BB8" w:rsidRDefault="008D1BB8" w:rsidP="008D1BB8">
      <w:pPr>
        <w:autoSpaceDE w:val="0"/>
        <w:autoSpaceDN w:val="0"/>
        <w:adjustRightInd w:val="0"/>
        <w:spacing w:before="0" w:after="0" w:line="240" w:lineRule="auto"/>
        <w:rPr>
          <w:rFonts w:ascii="Arial" w:hAnsi="Arial" w:cs="Arial"/>
          <w:sz w:val="24"/>
        </w:rPr>
      </w:pPr>
    </w:p>
    <w:p w:rsid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Medidas e información de juego responsable en la web oficial de juego de la ONCE.</w:t>
      </w:r>
    </w:p>
    <w:p w:rsidR="008D1BB8" w:rsidRDefault="008D1BB8" w:rsidP="008D1BB8">
      <w:pPr>
        <w:autoSpaceDE w:val="0"/>
        <w:autoSpaceDN w:val="0"/>
        <w:adjustRightInd w:val="0"/>
        <w:spacing w:before="0" w:after="0" w:line="240" w:lineRule="auto"/>
        <w:rPr>
          <w:rFonts w:ascii="Arial" w:hAnsi="Arial" w:cs="Arial"/>
          <w:sz w:val="24"/>
        </w:rPr>
      </w:pPr>
    </w:p>
    <w:p w:rsidR="0073443B"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 xml:space="preserve">La web de juegosonce sigue todos los estándares de juego responsable de la </w:t>
      </w:r>
      <w:r w:rsidR="005D6D45">
        <w:rPr>
          <w:rFonts w:ascii="Arial" w:hAnsi="Arial" w:cs="Arial"/>
          <w:sz w:val="24"/>
        </w:rPr>
        <w:t>certificación</w:t>
      </w:r>
      <w:r>
        <w:rPr>
          <w:rFonts w:ascii="Arial" w:hAnsi="Arial" w:cs="Arial"/>
          <w:sz w:val="24"/>
        </w:rPr>
        <w:t xml:space="preserve"> de juego responsable de la asociación mundial de loterías (WLA) y de la asociación europea de loterías (EL). </w:t>
      </w:r>
      <w:r w:rsidR="007171C0">
        <w:rPr>
          <w:rFonts w:ascii="Arial" w:hAnsi="Arial" w:cs="Arial"/>
          <w:sz w:val="24"/>
        </w:rPr>
        <w:t xml:space="preserve">Al tener ONCE la certificación de ambas asociaciones </w:t>
      </w:r>
      <w:r w:rsidR="00702A36">
        <w:rPr>
          <w:rFonts w:ascii="Arial" w:hAnsi="Arial" w:cs="Arial"/>
          <w:sz w:val="24"/>
        </w:rPr>
        <w:t xml:space="preserve">la web </w:t>
      </w:r>
      <w:r w:rsidR="007171C0">
        <w:rPr>
          <w:rFonts w:ascii="Arial" w:hAnsi="Arial" w:cs="Arial"/>
          <w:sz w:val="24"/>
        </w:rPr>
        <w:t xml:space="preserve">juegosonce pasa una auditoría externa específica de juego responsable. </w:t>
      </w:r>
      <w:r>
        <w:rPr>
          <w:rFonts w:ascii="Arial" w:hAnsi="Arial" w:cs="Arial"/>
          <w:sz w:val="24"/>
        </w:rPr>
        <w:t xml:space="preserve">Además </w:t>
      </w:r>
      <w:r w:rsidR="007171C0">
        <w:rPr>
          <w:rFonts w:ascii="Arial" w:hAnsi="Arial" w:cs="Arial"/>
          <w:sz w:val="24"/>
        </w:rPr>
        <w:t xml:space="preserve">juegosonce </w:t>
      </w:r>
      <w:r>
        <w:rPr>
          <w:rFonts w:ascii="Arial" w:hAnsi="Arial" w:cs="Arial"/>
          <w:sz w:val="24"/>
        </w:rPr>
        <w:t>incluye todas las medidas establecidas por la Dirección General de Ordenación del Juego (DGOJ) como la verificación de autoexcluidos y la prohibición de jugar a menores de edad.</w:t>
      </w:r>
    </w:p>
    <w:p w:rsidR="0073443B" w:rsidRDefault="0073443B" w:rsidP="008D1BB8">
      <w:pPr>
        <w:autoSpaceDE w:val="0"/>
        <w:autoSpaceDN w:val="0"/>
        <w:adjustRightInd w:val="0"/>
        <w:spacing w:before="0" w:after="0" w:line="240" w:lineRule="auto"/>
        <w:rPr>
          <w:rFonts w:ascii="Arial" w:hAnsi="Arial" w:cs="Arial"/>
          <w:sz w:val="24"/>
        </w:rPr>
      </w:pPr>
    </w:p>
    <w:p w:rsidR="0073443B" w:rsidRDefault="0073443B" w:rsidP="008D1BB8">
      <w:pPr>
        <w:autoSpaceDE w:val="0"/>
        <w:autoSpaceDN w:val="0"/>
        <w:adjustRightInd w:val="0"/>
        <w:spacing w:before="0" w:after="0" w:line="240" w:lineRule="auto"/>
        <w:rPr>
          <w:rFonts w:ascii="Arial" w:hAnsi="Arial" w:cs="Arial"/>
          <w:sz w:val="24"/>
        </w:rPr>
      </w:pPr>
      <w:r>
        <w:rPr>
          <w:rFonts w:ascii="Arial" w:hAnsi="Arial" w:cs="Arial"/>
          <w:sz w:val="24"/>
        </w:rPr>
        <w:t xml:space="preserve">Además dentro de la web de ONCE se incluye un test de autodiagnóstico </w:t>
      </w:r>
      <w:r w:rsidR="000147D4">
        <w:rPr>
          <w:rFonts w:ascii="Arial" w:hAnsi="Arial" w:cs="Arial"/>
          <w:sz w:val="24"/>
        </w:rPr>
        <w:t>junto con un enlace a un s</w:t>
      </w:r>
      <w:r w:rsidR="000147D4" w:rsidRPr="000147D4">
        <w:rPr>
          <w:rFonts w:ascii="Arial" w:hAnsi="Arial" w:cs="Arial"/>
          <w:sz w:val="24"/>
        </w:rPr>
        <w:t>istema experto online para la identificación e intervención en problemas de juego</w:t>
      </w:r>
      <w:r w:rsidR="000147D4">
        <w:rPr>
          <w:rFonts w:ascii="Arial" w:hAnsi="Arial" w:cs="Arial"/>
          <w:sz w:val="24"/>
        </w:rPr>
        <w:t>. También se incluye el folleto informativo de juego responsable, el código de publicidad y un conjunto de consejos de juego. En colaboración con FEJAR se incluye un enlace a su página web y su teléfono de ayuda.</w:t>
      </w:r>
    </w:p>
    <w:p w:rsidR="008D1BB8" w:rsidRDefault="008D1BB8" w:rsidP="008D1BB8">
      <w:pPr>
        <w:autoSpaceDE w:val="0"/>
        <w:autoSpaceDN w:val="0"/>
        <w:adjustRightInd w:val="0"/>
        <w:spacing w:before="0" w:after="0" w:line="240" w:lineRule="auto"/>
        <w:rPr>
          <w:rFonts w:ascii="Arial" w:hAnsi="Arial" w:cs="Arial"/>
          <w:sz w:val="24"/>
        </w:rPr>
      </w:pPr>
    </w:p>
    <w:p w:rsidR="008D1BB8" w:rsidRDefault="008D1BB8" w:rsidP="008D1BB8">
      <w:pPr>
        <w:autoSpaceDE w:val="0"/>
        <w:autoSpaceDN w:val="0"/>
        <w:adjustRightInd w:val="0"/>
        <w:spacing w:before="0" w:after="0" w:line="240" w:lineRule="auto"/>
        <w:rPr>
          <w:rFonts w:ascii="Arial" w:hAnsi="Arial" w:cs="Arial"/>
          <w:sz w:val="24"/>
        </w:rPr>
      </w:pPr>
    </w:p>
    <w:p w:rsidR="008D1BB8" w:rsidRPr="008D1BB8" w:rsidRDefault="008D1BB8" w:rsidP="008D1BB8">
      <w:pPr>
        <w:numPr>
          <w:ilvl w:val="0"/>
          <w:numId w:val="19"/>
        </w:numPr>
        <w:autoSpaceDE w:val="0"/>
        <w:autoSpaceDN w:val="0"/>
        <w:adjustRightInd w:val="0"/>
        <w:spacing w:before="0" w:after="0" w:line="240" w:lineRule="auto"/>
        <w:rPr>
          <w:rFonts w:ascii="Arial" w:hAnsi="Arial" w:cs="Arial"/>
          <w:b/>
          <w:sz w:val="24"/>
        </w:rPr>
      </w:pPr>
      <w:r w:rsidRPr="008D1BB8">
        <w:rPr>
          <w:rFonts w:ascii="Arial" w:hAnsi="Arial" w:cs="Arial"/>
          <w:b/>
          <w:sz w:val="24"/>
        </w:rPr>
        <w:t xml:space="preserve">Publicidad de los Juegos de Azar según </w:t>
      </w:r>
      <w:r w:rsidR="00304518" w:rsidRPr="008D1BB8">
        <w:rPr>
          <w:rFonts w:ascii="Arial" w:hAnsi="Arial" w:cs="Arial"/>
          <w:b/>
          <w:sz w:val="24"/>
        </w:rPr>
        <w:t>las</w:t>
      </w:r>
      <w:r w:rsidRPr="008D1BB8">
        <w:rPr>
          <w:rFonts w:ascii="Arial" w:hAnsi="Arial" w:cs="Arial"/>
          <w:b/>
          <w:sz w:val="24"/>
        </w:rPr>
        <w:t xml:space="preserve"> Mejores Prácticas de Marketing de la Asociación Mundial de Loterías (WLA).</w:t>
      </w:r>
    </w:p>
    <w:p w:rsidR="008D1BB8" w:rsidRDefault="008D1BB8" w:rsidP="008200EC">
      <w:pPr>
        <w:autoSpaceDE w:val="0"/>
        <w:autoSpaceDN w:val="0"/>
        <w:adjustRightInd w:val="0"/>
        <w:spacing w:before="0" w:after="0" w:line="240" w:lineRule="auto"/>
        <w:rPr>
          <w:rFonts w:ascii="Arial" w:hAnsi="Arial" w:cs="Arial"/>
          <w:sz w:val="24"/>
        </w:rPr>
      </w:pPr>
    </w:p>
    <w:p w:rsidR="008D1BB8" w:rsidRDefault="000147D4" w:rsidP="008200EC">
      <w:pPr>
        <w:autoSpaceDE w:val="0"/>
        <w:autoSpaceDN w:val="0"/>
        <w:adjustRightInd w:val="0"/>
        <w:spacing w:before="0" w:after="0" w:line="240" w:lineRule="auto"/>
        <w:rPr>
          <w:rFonts w:ascii="Arial" w:hAnsi="Arial" w:cs="Arial"/>
          <w:sz w:val="24"/>
        </w:rPr>
      </w:pPr>
      <w:r>
        <w:rPr>
          <w:rFonts w:ascii="Arial" w:hAnsi="Arial" w:cs="Arial"/>
          <w:sz w:val="24"/>
        </w:rPr>
        <w:t>La ONCE acepta y cumple el Código de Mejores Prácticas de Marketing de la Asociación Mundial de Loterías como dicta el Convenio de Colaboración</w:t>
      </w:r>
      <w:r w:rsidR="00702A36">
        <w:rPr>
          <w:rFonts w:ascii="Arial" w:hAnsi="Arial" w:cs="Arial"/>
          <w:sz w:val="24"/>
        </w:rPr>
        <w:t xml:space="preserve"> e igualmente es miembro de Autocontrol que verifica diversas medidas de juego responsable en la publicidad</w:t>
      </w:r>
      <w:r>
        <w:rPr>
          <w:rFonts w:ascii="Arial" w:hAnsi="Arial" w:cs="Arial"/>
          <w:sz w:val="24"/>
        </w:rPr>
        <w:t>.</w:t>
      </w:r>
    </w:p>
    <w:p w:rsidR="000147D4" w:rsidRDefault="000147D4" w:rsidP="008200EC">
      <w:pPr>
        <w:autoSpaceDE w:val="0"/>
        <w:autoSpaceDN w:val="0"/>
        <w:adjustRightInd w:val="0"/>
        <w:spacing w:before="0" w:after="0" w:line="240" w:lineRule="auto"/>
        <w:rPr>
          <w:rFonts w:ascii="Arial" w:hAnsi="Arial" w:cs="Arial"/>
          <w:sz w:val="24"/>
        </w:rPr>
      </w:pPr>
    </w:p>
    <w:p w:rsidR="008D1BB8" w:rsidRDefault="008D1BB8" w:rsidP="008200EC">
      <w:pPr>
        <w:autoSpaceDE w:val="0"/>
        <w:autoSpaceDN w:val="0"/>
        <w:adjustRightInd w:val="0"/>
        <w:spacing w:before="0" w:after="0" w:line="240" w:lineRule="auto"/>
        <w:rPr>
          <w:rFonts w:ascii="Arial" w:hAnsi="Arial" w:cs="Arial"/>
          <w:sz w:val="24"/>
        </w:rPr>
      </w:pPr>
    </w:p>
    <w:p w:rsidR="003740BA" w:rsidRDefault="000147D4" w:rsidP="008200EC">
      <w:pPr>
        <w:autoSpaceDE w:val="0"/>
        <w:autoSpaceDN w:val="0"/>
        <w:adjustRightInd w:val="0"/>
        <w:spacing w:before="0" w:after="0" w:line="240" w:lineRule="auto"/>
        <w:rPr>
          <w:rFonts w:ascii="Arial" w:hAnsi="Arial" w:cs="Arial"/>
          <w:sz w:val="24"/>
        </w:rPr>
      </w:pPr>
      <w:r>
        <w:rPr>
          <w:rFonts w:ascii="Arial" w:hAnsi="Arial" w:cs="Arial"/>
          <w:sz w:val="24"/>
        </w:rPr>
        <w:t xml:space="preserve">Además de estas 6 actuaciones se </w:t>
      </w:r>
      <w:r w:rsidR="003740BA">
        <w:rPr>
          <w:rFonts w:ascii="Arial" w:hAnsi="Arial" w:cs="Arial"/>
          <w:sz w:val="24"/>
        </w:rPr>
        <w:t xml:space="preserve">realizan otras acciones en común: </w:t>
      </w:r>
    </w:p>
    <w:p w:rsidR="003740BA" w:rsidRDefault="003740BA" w:rsidP="003740BA">
      <w:pPr>
        <w:numPr>
          <w:ilvl w:val="0"/>
          <w:numId w:val="20"/>
        </w:numPr>
        <w:autoSpaceDE w:val="0"/>
        <w:autoSpaceDN w:val="0"/>
        <w:adjustRightInd w:val="0"/>
        <w:spacing w:before="0" w:after="0" w:line="240" w:lineRule="auto"/>
        <w:rPr>
          <w:rFonts w:ascii="Arial" w:hAnsi="Arial" w:cs="Arial"/>
          <w:sz w:val="24"/>
        </w:rPr>
      </w:pPr>
      <w:r>
        <w:rPr>
          <w:rFonts w:ascii="Arial" w:hAnsi="Arial" w:cs="Arial"/>
          <w:sz w:val="24"/>
        </w:rPr>
        <w:t xml:space="preserve">Se </w:t>
      </w:r>
      <w:r w:rsidR="000147D4">
        <w:rPr>
          <w:rFonts w:ascii="Arial" w:hAnsi="Arial" w:cs="Arial"/>
          <w:sz w:val="24"/>
        </w:rPr>
        <w:t>mantienen reuniones anuales de la Comisión de Seguimiento del Convenio</w:t>
      </w:r>
      <w:r>
        <w:rPr>
          <w:rFonts w:ascii="Arial" w:hAnsi="Arial" w:cs="Arial"/>
          <w:sz w:val="24"/>
        </w:rPr>
        <w:t>.</w:t>
      </w:r>
    </w:p>
    <w:p w:rsidR="003740BA" w:rsidRDefault="003740BA" w:rsidP="003740BA">
      <w:pPr>
        <w:numPr>
          <w:ilvl w:val="0"/>
          <w:numId w:val="20"/>
        </w:numPr>
        <w:autoSpaceDE w:val="0"/>
        <w:autoSpaceDN w:val="0"/>
        <w:adjustRightInd w:val="0"/>
        <w:spacing w:before="0" w:after="0" w:line="240" w:lineRule="auto"/>
        <w:rPr>
          <w:rFonts w:ascii="Arial" w:hAnsi="Arial" w:cs="Arial"/>
          <w:sz w:val="24"/>
        </w:rPr>
      </w:pPr>
      <w:r>
        <w:rPr>
          <w:rFonts w:ascii="Arial" w:hAnsi="Arial" w:cs="Arial"/>
          <w:sz w:val="24"/>
        </w:rPr>
        <w:t>S</w:t>
      </w:r>
      <w:r w:rsidR="000147D4">
        <w:rPr>
          <w:rFonts w:ascii="Arial" w:hAnsi="Arial" w:cs="Arial"/>
          <w:sz w:val="24"/>
        </w:rPr>
        <w:t xml:space="preserve">e </w:t>
      </w:r>
      <w:r>
        <w:rPr>
          <w:rFonts w:ascii="Arial" w:hAnsi="Arial" w:cs="Arial"/>
          <w:sz w:val="24"/>
        </w:rPr>
        <w:t>mantienen reuniones del Consejo Asesor de Juego Responsable de la DGOJ</w:t>
      </w:r>
      <w:r w:rsidR="00702A36">
        <w:rPr>
          <w:rFonts w:ascii="Arial" w:hAnsi="Arial" w:cs="Arial"/>
          <w:sz w:val="24"/>
        </w:rPr>
        <w:t>.</w:t>
      </w:r>
    </w:p>
    <w:p w:rsidR="003740BA" w:rsidRDefault="003740BA" w:rsidP="003740BA">
      <w:pPr>
        <w:numPr>
          <w:ilvl w:val="0"/>
          <w:numId w:val="20"/>
        </w:numPr>
        <w:autoSpaceDE w:val="0"/>
        <w:autoSpaceDN w:val="0"/>
        <w:adjustRightInd w:val="0"/>
        <w:spacing w:before="0" w:after="0" w:line="240" w:lineRule="auto"/>
        <w:rPr>
          <w:rFonts w:ascii="Arial" w:hAnsi="Arial" w:cs="Arial"/>
          <w:sz w:val="24"/>
        </w:rPr>
      </w:pPr>
      <w:r>
        <w:rPr>
          <w:rFonts w:ascii="Arial" w:hAnsi="Arial" w:cs="Arial"/>
          <w:sz w:val="24"/>
        </w:rPr>
        <w:t xml:space="preserve">La ONCE </w:t>
      </w:r>
      <w:r w:rsidR="00702A36">
        <w:rPr>
          <w:rFonts w:ascii="Arial" w:hAnsi="Arial" w:cs="Arial"/>
          <w:sz w:val="24"/>
        </w:rPr>
        <w:t>asiste</w:t>
      </w:r>
      <w:r>
        <w:rPr>
          <w:rFonts w:ascii="Arial" w:hAnsi="Arial" w:cs="Arial"/>
          <w:sz w:val="24"/>
        </w:rPr>
        <w:t xml:space="preserve"> a diversos eventos organizados por FEJAR como</w:t>
      </w:r>
      <w:r w:rsidR="007171C0">
        <w:rPr>
          <w:rFonts w:ascii="Arial" w:hAnsi="Arial" w:cs="Arial"/>
          <w:sz w:val="24"/>
        </w:rPr>
        <w:t xml:space="preserve"> sus Congresos anuales o</w:t>
      </w:r>
      <w:r>
        <w:rPr>
          <w:rFonts w:ascii="Arial" w:hAnsi="Arial" w:cs="Arial"/>
          <w:sz w:val="24"/>
        </w:rPr>
        <w:t xml:space="preserve"> seminarios sobre juego patológico o adicciones.</w:t>
      </w:r>
    </w:p>
    <w:p w:rsidR="00702A36" w:rsidRDefault="00702A36" w:rsidP="00702A36">
      <w:pPr>
        <w:numPr>
          <w:ilvl w:val="0"/>
          <w:numId w:val="20"/>
        </w:numPr>
        <w:autoSpaceDE w:val="0"/>
        <w:autoSpaceDN w:val="0"/>
        <w:adjustRightInd w:val="0"/>
        <w:spacing w:before="0" w:after="0" w:line="240" w:lineRule="auto"/>
        <w:rPr>
          <w:rFonts w:ascii="Arial" w:hAnsi="Arial" w:cs="Arial"/>
          <w:sz w:val="24"/>
        </w:rPr>
      </w:pPr>
      <w:r>
        <w:rPr>
          <w:rFonts w:ascii="Arial" w:hAnsi="Arial" w:cs="Arial"/>
          <w:sz w:val="24"/>
        </w:rPr>
        <w:t xml:space="preserve">En abril de 2016 FEJAR y ONCE </w:t>
      </w:r>
      <w:r w:rsidRPr="00953866">
        <w:rPr>
          <w:rFonts w:ascii="Arial" w:hAnsi="Arial" w:cs="Arial"/>
          <w:sz w:val="24"/>
        </w:rPr>
        <w:t xml:space="preserve">en colaboración con la Sociedad Científica Ibero Latino Americana para el Estudio del Juego (SOCILEJ), </w:t>
      </w:r>
      <w:r w:rsidRPr="00953866">
        <w:rPr>
          <w:rFonts w:ascii="Arial" w:hAnsi="Arial" w:cs="Arial"/>
          <w:sz w:val="24"/>
        </w:rPr>
        <w:lastRenderedPageBreak/>
        <w:t>organizaron en la sede de la Delegación territ</w:t>
      </w:r>
      <w:r>
        <w:rPr>
          <w:rFonts w:ascii="Arial" w:hAnsi="Arial" w:cs="Arial"/>
          <w:sz w:val="24"/>
        </w:rPr>
        <w:t xml:space="preserve">orial de la ONCE en Madrid, la </w:t>
      </w:r>
      <w:r w:rsidRPr="00953866">
        <w:rPr>
          <w:rFonts w:ascii="Arial" w:hAnsi="Arial" w:cs="Arial"/>
          <w:sz w:val="24"/>
        </w:rPr>
        <w:t>I Jornada Científica ‘Investigación en el Juego Patológico, una visión Ibero-Latinoamericana’</w:t>
      </w:r>
    </w:p>
    <w:p w:rsidR="000147D4" w:rsidRDefault="003740BA" w:rsidP="003740BA">
      <w:pPr>
        <w:numPr>
          <w:ilvl w:val="0"/>
          <w:numId w:val="20"/>
        </w:numPr>
        <w:autoSpaceDE w:val="0"/>
        <w:autoSpaceDN w:val="0"/>
        <w:adjustRightInd w:val="0"/>
        <w:spacing w:before="0" w:after="0" w:line="240" w:lineRule="auto"/>
        <w:rPr>
          <w:rFonts w:ascii="Arial" w:hAnsi="Arial" w:cs="Arial"/>
          <w:sz w:val="24"/>
        </w:rPr>
      </w:pPr>
      <w:r>
        <w:rPr>
          <w:rFonts w:ascii="Arial" w:hAnsi="Arial" w:cs="Arial"/>
          <w:sz w:val="24"/>
        </w:rPr>
        <w:t xml:space="preserve">Se ha realizado </w:t>
      </w:r>
      <w:r w:rsidR="000147D4">
        <w:rPr>
          <w:rFonts w:ascii="Arial" w:hAnsi="Arial" w:cs="Arial"/>
          <w:sz w:val="24"/>
        </w:rPr>
        <w:t>un seminario entre FEJAR y ONCE para compartir ambas visiones sobre la lotería instantánea</w:t>
      </w:r>
      <w:r w:rsidR="008C0B01">
        <w:rPr>
          <w:rFonts w:ascii="Arial" w:hAnsi="Arial" w:cs="Arial"/>
          <w:sz w:val="24"/>
        </w:rPr>
        <w:t xml:space="preserve"> que tuvo lugar en octubre de 2016</w:t>
      </w:r>
      <w:r w:rsidR="000147D4">
        <w:rPr>
          <w:rFonts w:ascii="Arial" w:hAnsi="Arial" w:cs="Arial"/>
          <w:sz w:val="24"/>
        </w:rPr>
        <w:t>.</w:t>
      </w:r>
    </w:p>
    <w:p w:rsidR="007E2C33" w:rsidRDefault="007E2C33" w:rsidP="008200EC">
      <w:pPr>
        <w:autoSpaceDE w:val="0"/>
        <w:autoSpaceDN w:val="0"/>
        <w:adjustRightInd w:val="0"/>
        <w:spacing w:before="0" w:after="0" w:line="240" w:lineRule="auto"/>
        <w:rPr>
          <w:rFonts w:ascii="Arial" w:hAnsi="Arial" w:cs="Arial"/>
          <w:sz w:val="24"/>
        </w:rPr>
      </w:pPr>
    </w:p>
    <w:p w:rsidR="007E2C33" w:rsidRDefault="007E2C33" w:rsidP="008200EC">
      <w:pPr>
        <w:autoSpaceDE w:val="0"/>
        <w:autoSpaceDN w:val="0"/>
        <w:adjustRightInd w:val="0"/>
        <w:spacing w:before="0" w:after="0" w:line="240" w:lineRule="auto"/>
        <w:rPr>
          <w:rFonts w:ascii="Arial" w:hAnsi="Arial" w:cs="Arial"/>
          <w:sz w:val="24"/>
        </w:rPr>
      </w:pPr>
    </w:p>
    <w:p w:rsidR="007E2C33" w:rsidRDefault="007E2C3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6E77B3" w:rsidRDefault="006E77B3" w:rsidP="008200EC">
      <w:pPr>
        <w:autoSpaceDE w:val="0"/>
        <w:autoSpaceDN w:val="0"/>
        <w:adjustRightInd w:val="0"/>
        <w:spacing w:before="0" w:after="0" w:line="240" w:lineRule="auto"/>
        <w:rPr>
          <w:rFonts w:ascii="Arial" w:hAnsi="Arial" w:cs="Arial"/>
          <w:sz w:val="24"/>
        </w:rPr>
      </w:pPr>
    </w:p>
    <w:p w:rsidR="00E31BFA" w:rsidRDefault="00E31BFA" w:rsidP="008200EC">
      <w:pPr>
        <w:autoSpaceDE w:val="0"/>
        <w:autoSpaceDN w:val="0"/>
        <w:adjustRightInd w:val="0"/>
        <w:spacing w:before="0" w:after="0" w:line="240" w:lineRule="auto"/>
        <w:rPr>
          <w:rFonts w:ascii="Arial" w:hAnsi="Arial" w:cs="Arial"/>
          <w:sz w:val="24"/>
        </w:rPr>
      </w:pPr>
    </w:p>
    <w:p w:rsidR="00E31BFA" w:rsidRDefault="00E31BFA" w:rsidP="008200EC">
      <w:pPr>
        <w:autoSpaceDE w:val="0"/>
        <w:autoSpaceDN w:val="0"/>
        <w:adjustRightInd w:val="0"/>
        <w:spacing w:before="0" w:after="0" w:line="240" w:lineRule="auto"/>
        <w:rPr>
          <w:rFonts w:ascii="Arial" w:hAnsi="Arial" w:cs="Arial"/>
          <w:sz w:val="24"/>
        </w:rPr>
      </w:pPr>
    </w:p>
    <w:p w:rsidR="00E31BFA" w:rsidRDefault="00E31BFA" w:rsidP="008200EC">
      <w:pPr>
        <w:autoSpaceDE w:val="0"/>
        <w:autoSpaceDN w:val="0"/>
        <w:adjustRightInd w:val="0"/>
        <w:spacing w:before="0" w:after="0" w:line="240" w:lineRule="auto"/>
        <w:rPr>
          <w:rFonts w:ascii="Arial" w:hAnsi="Arial" w:cs="Arial"/>
          <w:sz w:val="24"/>
        </w:rPr>
      </w:pPr>
    </w:p>
    <w:p w:rsidR="00E31BFA" w:rsidRDefault="00E31BFA" w:rsidP="008200EC">
      <w:pPr>
        <w:autoSpaceDE w:val="0"/>
        <w:autoSpaceDN w:val="0"/>
        <w:adjustRightInd w:val="0"/>
        <w:spacing w:before="0" w:after="0" w:line="240" w:lineRule="auto"/>
        <w:rPr>
          <w:rFonts w:ascii="Arial" w:hAnsi="Arial" w:cs="Arial"/>
          <w:sz w:val="24"/>
        </w:rPr>
      </w:pPr>
    </w:p>
    <w:sectPr w:rsidR="00E31BFA" w:rsidSect="00E27638">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AE8" w:rsidRDefault="00A66AE8">
      <w:r>
        <w:separator/>
      </w:r>
    </w:p>
  </w:endnote>
  <w:endnote w:type="continuationSeparator" w:id="0">
    <w:p w:rsidR="00A66AE8" w:rsidRDefault="00A66A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8F" w:rsidRDefault="00725B8F">
    <w:pPr>
      <w:pStyle w:val="Piedepgina"/>
    </w:pPr>
    <w:r>
      <w:tab/>
    </w:r>
    <w:r>
      <w:rPr>
        <w:rStyle w:val="Nmerodepgin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8F" w:rsidRDefault="00725B8F">
    <w:pPr>
      <w:pStyle w:val="Piedepgina"/>
    </w:pPr>
    <w:r>
      <w:tab/>
    </w:r>
    <w:r w:rsidR="007E38BA">
      <w:rPr>
        <w:rStyle w:val="Nmerodepgina"/>
      </w:rPr>
      <w:fldChar w:fldCharType="begin"/>
    </w:r>
    <w:r>
      <w:rPr>
        <w:rStyle w:val="Nmerodepgina"/>
      </w:rPr>
      <w:instrText xml:space="preserve"> PAGE </w:instrText>
    </w:r>
    <w:r w:rsidR="007E38BA">
      <w:rPr>
        <w:rStyle w:val="Nmerodepgina"/>
      </w:rPr>
      <w:fldChar w:fldCharType="separate"/>
    </w:r>
    <w:r w:rsidR="00702A36">
      <w:rPr>
        <w:rStyle w:val="Nmerodepgina"/>
        <w:noProof/>
      </w:rPr>
      <w:t>4</w:t>
    </w:r>
    <w:r w:rsidR="007E38BA">
      <w:rPr>
        <w:rStyle w:val="Nmerodepgina"/>
      </w:rPr>
      <w:fldChar w:fldCharType="end"/>
    </w:r>
    <w:r>
      <w:rPr>
        <w:rStyle w:val="Nmerodepgina"/>
      </w:rPr>
      <w:tab/>
    </w:r>
    <w:r w:rsidR="007E38BA">
      <w:rPr>
        <w:rStyle w:val="Nmerodepgina"/>
      </w:rPr>
      <w:fldChar w:fldCharType="begin"/>
    </w:r>
    <w:r w:rsidR="008A1244">
      <w:rPr>
        <w:rStyle w:val="Nmerodepgina"/>
      </w:rPr>
      <w:instrText xml:space="preserve"> TIME \@ "MMMM' de 'yyyy" </w:instrText>
    </w:r>
    <w:r w:rsidR="007E38BA">
      <w:rPr>
        <w:rStyle w:val="Nmerodepgina"/>
      </w:rPr>
      <w:fldChar w:fldCharType="separate"/>
    </w:r>
    <w:r w:rsidR="00304518">
      <w:rPr>
        <w:rStyle w:val="Nmerodepgina"/>
        <w:noProof/>
      </w:rPr>
      <w:t>octubre de 2016</w:t>
    </w:r>
    <w:r w:rsidR="007E38BA">
      <w:rPr>
        <w:rStyle w:val="Nmerodepgina"/>
      </w:rPr>
      <w:fldChar w:fldCharType="end"/>
    </w:r>
    <w:r>
      <w:tab/>
    </w:r>
    <w:r>
      <w:rPr>
        <w:rStyle w:val="Nmerodepgin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AE8" w:rsidRDefault="00A66AE8">
      <w:r>
        <w:separator/>
      </w:r>
    </w:p>
  </w:footnote>
  <w:footnote w:type="continuationSeparator" w:id="0">
    <w:p w:rsidR="00A66AE8" w:rsidRDefault="00A6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8F" w:rsidRDefault="007E38BA" w:rsidP="000B554E">
    <w:pPr>
      <w:pStyle w:val="Encabezado"/>
      <w:spacing w:before="0"/>
    </w:pPr>
    <w:r>
      <w:rPr>
        <w:noProof/>
      </w:rPr>
      <w:pict>
        <v:line id="_x0000_s2049" style="position:absolute;left:0;text-align:left;z-index:1" from="0,44.45pt" to="423pt,44.45pt" strokecolor="green"/>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5pt;height:36.95pt">
          <v:imagedata r:id="rId1" o:title=""/>
        </v:shape>
      </w:pict>
    </w:r>
    <w:r w:rsidR="00725B8F">
      <w:tab/>
    </w:r>
    <w:r w:rsidR="00725B8F">
      <w:tab/>
    </w:r>
    <w:r w:rsidR="00D258A9">
      <w:rPr>
        <w:color w:val="008000"/>
      </w:rPr>
      <w:t>Convenio ONCE-FEJAR 2011-2016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9491E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6E37154"/>
    <w:multiLevelType w:val="hybridMultilevel"/>
    <w:tmpl w:val="4D7E435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A72560A"/>
    <w:multiLevelType w:val="hybridMultilevel"/>
    <w:tmpl w:val="239C74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B26BDF"/>
    <w:multiLevelType w:val="hybridMultilevel"/>
    <w:tmpl w:val="1F5A0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6F4AEE"/>
    <w:multiLevelType w:val="hybridMultilevel"/>
    <w:tmpl w:val="A60A6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7E2B5B"/>
    <w:multiLevelType w:val="hybridMultilevel"/>
    <w:tmpl w:val="1A9403B2"/>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6">
    <w:nsid w:val="1F1C312C"/>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nsid w:val="31CD3D4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0814DA"/>
    <w:multiLevelType w:val="hybridMultilevel"/>
    <w:tmpl w:val="4D7E435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4687216"/>
    <w:multiLevelType w:val="hybridMultilevel"/>
    <w:tmpl w:val="09C2C6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E0255"/>
    <w:multiLevelType w:val="hybridMultilevel"/>
    <w:tmpl w:val="35A8BD38"/>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num w:numId="1">
    <w:abstractNumId w:val="6"/>
  </w:num>
  <w:num w:numId="2">
    <w:abstractNumId w:val="0"/>
  </w:num>
  <w:num w:numId="3">
    <w:abstractNumId w:val="9"/>
  </w:num>
  <w:num w:numId="4">
    <w:abstractNumId w:val="6"/>
  </w:num>
  <w:num w:numId="5">
    <w:abstractNumId w:val="7"/>
  </w:num>
  <w:num w:numId="6">
    <w:abstractNumId w:val="6"/>
  </w:num>
  <w:num w:numId="7">
    <w:abstractNumId w:val="6"/>
  </w:num>
  <w:num w:numId="8">
    <w:abstractNumId w:val="6"/>
  </w:num>
  <w:num w:numId="9">
    <w:abstractNumId w:val="6"/>
  </w:num>
  <w:num w:numId="10">
    <w:abstractNumId w:val="6"/>
  </w:num>
  <w:num w:numId="11">
    <w:abstractNumId w:val="6"/>
  </w:num>
  <w:num w:numId="12">
    <w:abstractNumId w:val="2"/>
  </w:num>
  <w:num w:numId="13">
    <w:abstractNumId w:val="6"/>
  </w:num>
  <w:num w:numId="14">
    <w:abstractNumId w:val="10"/>
  </w:num>
  <w:num w:numId="15">
    <w:abstractNumId w:val="5"/>
  </w:num>
  <w:num w:numId="16">
    <w:abstractNumId w:val="6"/>
  </w:num>
  <w:num w:numId="17">
    <w:abstractNumId w:val="4"/>
  </w:num>
  <w:num w:numId="18">
    <w:abstractNumId w:val="8"/>
  </w:num>
  <w:num w:numId="19">
    <w:abstractNumId w:val="1"/>
  </w:num>
  <w:num w:numId="20">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oNotTrackMoves/>
  <w:defaultTabStop w:val="708"/>
  <w:hyphenationZone w:val="425"/>
  <w:noPunctuationKerning/>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66C6"/>
    <w:rsid w:val="0001108A"/>
    <w:rsid w:val="000147A0"/>
    <w:rsid w:val="000147D4"/>
    <w:rsid w:val="00027B18"/>
    <w:rsid w:val="00030147"/>
    <w:rsid w:val="00031A07"/>
    <w:rsid w:val="00036989"/>
    <w:rsid w:val="00037601"/>
    <w:rsid w:val="00046369"/>
    <w:rsid w:val="00050811"/>
    <w:rsid w:val="00054B57"/>
    <w:rsid w:val="00060B6D"/>
    <w:rsid w:val="000647F5"/>
    <w:rsid w:val="000659D6"/>
    <w:rsid w:val="000764A3"/>
    <w:rsid w:val="00081E70"/>
    <w:rsid w:val="000B0175"/>
    <w:rsid w:val="000B31A7"/>
    <w:rsid w:val="000B4E45"/>
    <w:rsid w:val="000B554E"/>
    <w:rsid w:val="000B7080"/>
    <w:rsid w:val="000C2054"/>
    <w:rsid w:val="000E2114"/>
    <w:rsid w:val="000E26AB"/>
    <w:rsid w:val="000E3CD1"/>
    <w:rsid w:val="000E5750"/>
    <w:rsid w:val="000E5B56"/>
    <w:rsid w:val="000F23E7"/>
    <w:rsid w:val="000F58BA"/>
    <w:rsid w:val="00101606"/>
    <w:rsid w:val="00101C10"/>
    <w:rsid w:val="001102F0"/>
    <w:rsid w:val="00116DE7"/>
    <w:rsid w:val="001205AF"/>
    <w:rsid w:val="00120688"/>
    <w:rsid w:val="00125518"/>
    <w:rsid w:val="001332EC"/>
    <w:rsid w:val="00134165"/>
    <w:rsid w:val="001403CE"/>
    <w:rsid w:val="00145F74"/>
    <w:rsid w:val="00161419"/>
    <w:rsid w:val="001623CF"/>
    <w:rsid w:val="001645B9"/>
    <w:rsid w:val="00177E35"/>
    <w:rsid w:val="00183B17"/>
    <w:rsid w:val="00195E7A"/>
    <w:rsid w:val="001A797C"/>
    <w:rsid w:val="001A7BD3"/>
    <w:rsid w:val="001A7DC0"/>
    <w:rsid w:val="001B36E2"/>
    <w:rsid w:val="001B4112"/>
    <w:rsid w:val="001D248B"/>
    <w:rsid w:val="001D25D7"/>
    <w:rsid w:val="001D3FEE"/>
    <w:rsid w:val="001D4B68"/>
    <w:rsid w:val="001E54CB"/>
    <w:rsid w:val="001F196C"/>
    <w:rsid w:val="001F27CD"/>
    <w:rsid w:val="001F4B9C"/>
    <w:rsid w:val="00200FF1"/>
    <w:rsid w:val="002129CA"/>
    <w:rsid w:val="002136AE"/>
    <w:rsid w:val="00226124"/>
    <w:rsid w:val="002308A0"/>
    <w:rsid w:val="0023351F"/>
    <w:rsid w:val="00234022"/>
    <w:rsid w:val="00237595"/>
    <w:rsid w:val="00241818"/>
    <w:rsid w:val="002421AF"/>
    <w:rsid w:val="00242BBD"/>
    <w:rsid w:val="00244E16"/>
    <w:rsid w:val="00246781"/>
    <w:rsid w:val="00246830"/>
    <w:rsid w:val="0025064C"/>
    <w:rsid w:val="002570E4"/>
    <w:rsid w:val="00262129"/>
    <w:rsid w:val="00265D40"/>
    <w:rsid w:val="00265FDD"/>
    <w:rsid w:val="00284C6A"/>
    <w:rsid w:val="002872AB"/>
    <w:rsid w:val="0029192D"/>
    <w:rsid w:val="002A2B6F"/>
    <w:rsid w:val="002A2F95"/>
    <w:rsid w:val="002B00F2"/>
    <w:rsid w:val="002B6C8E"/>
    <w:rsid w:val="002D75B2"/>
    <w:rsid w:val="002D7E10"/>
    <w:rsid w:val="002E1451"/>
    <w:rsid w:val="002F056F"/>
    <w:rsid w:val="00304518"/>
    <w:rsid w:val="003136B0"/>
    <w:rsid w:val="00317B23"/>
    <w:rsid w:val="003257E8"/>
    <w:rsid w:val="00327169"/>
    <w:rsid w:val="00345F0C"/>
    <w:rsid w:val="003475A4"/>
    <w:rsid w:val="00350194"/>
    <w:rsid w:val="003503D9"/>
    <w:rsid w:val="00363885"/>
    <w:rsid w:val="003660ED"/>
    <w:rsid w:val="00367A10"/>
    <w:rsid w:val="00372406"/>
    <w:rsid w:val="003724EC"/>
    <w:rsid w:val="003740BA"/>
    <w:rsid w:val="00384A60"/>
    <w:rsid w:val="003932AD"/>
    <w:rsid w:val="00394985"/>
    <w:rsid w:val="00395CD1"/>
    <w:rsid w:val="003A67BB"/>
    <w:rsid w:val="003C2331"/>
    <w:rsid w:val="003C2552"/>
    <w:rsid w:val="003D3ADE"/>
    <w:rsid w:val="003D6A85"/>
    <w:rsid w:val="003E4A8D"/>
    <w:rsid w:val="003F49A1"/>
    <w:rsid w:val="00404614"/>
    <w:rsid w:val="00410B15"/>
    <w:rsid w:val="004138EA"/>
    <w:rsid w:val="00414359"/>
    <w:rsid w:val="004417AD"/>
    <w:rsid w:val="00450045"/>
    <w:rsid w:val="00453989"/>
    <w:rsid w:val="004624C4"/>
    <w:rsid w:val="004630B3"/>
    <w:rsid w:val="00467BAA"/>
    <w:rsid w:val="00473228"/>
    <w:rsid w:val="004772D4"/>
    <w:rsid w:val="0048632A"/>
    <w:rsid w:val="00486E1A"/>
    <w:rsid w:val="00490DDB"/>
    <w:rsid w:val="00492C7D"/>
    <w:rsid w:val="004A15F0"/>
    <w:rsid w:val="004A1CD5"/>
    <w:rsid w:val="004A6912"/>
    <w:rsid w:val="004B308B"/>
    <w:rsid w:val="004C0691"/>
    <w:rsid w:val="004D0DC6"/>
    <w:rsid w:val="004E57BF"/>
    <w:rsid w:val="004F2999"/>
    <w:rsid w:val="004F3999"/>
    <w:rsid w:val="00506D66"/>
    <w:rsid w:val="00512D8C"/>
    <w:rsid w:val="0052348B"/>
    <w:rsid w:val="00526532"/>
    <w:rsid w:val="00527CFD"/>
    <w:rsid w:val="00541836"/>
    <w:rsid w:val="00563D4C"/>
    <w:rsid w:val="005677E4"/>
    <w:rsid w:val="00580A8B"/>
    <w:rsid w:val="0058208B"/>
    <w:rsid w:val="00585EB7"/>
    <w:rsid w:val="0059234B"/>
    <w:rsid w:val="00594EA6"/>
    <w:rsid w:val="0059513B"/>
    <w:rsid w:val="005A0207"/>
    <w:rsid w:val="005A5E30"/>
    <w:rsid w:val="005A7208"/>
    <w:rsid w:val="005B04D0"/>
    <w:rsid w:val="005B26C6"/>
    <w:rsid w:val="005B2F4C"/>
    <w:rsid w:val="005B4C93"/>
    <w:rsid w:val="005B63CB"/>
    <w:rsid w:val="005C1010"/>
    <w:rsid w:val="005C2096"/>
    <w:rsid w:val="005D33F9"/>
    <w:rsid w:val="005D6D45"/>
    <w:rsid w:val="005D7F16"/>
    <w:rsid w:val="005E1183"/>
    <w:rsid w:val="005E24B5"/>
    <w:rsid w:val="005E3480"/>
    <w:rsid w:val="005E4EFC"/>
    <w:rsid w:val="005F1A71"/>
    <w:rsid w:val="00600691"/>
    <w:rsid w:val="00600C49"/>
    <w:rsid w:val="00600D77"/>
    <w:rsid w:val="0060170B"/>
    <w:rsid w:val="006020B9"/>
    <w:rsid w:val="006258EB"/>
    <w:rsid w:val="00631407"/>
    <w:rsid w:val="00636587"/>
    <w:rsid w:val="006449B4"/>
    <w:rsid w:val="00652B3C"/>
    <w:rsid w:val="00654530"/>
    <w:rsid w:val="0066505C"/>
    <w:rsid w:val="006718DA"/>
    <w:rsid w:val="006729E9"/>
    <w:rsid w:val="00674CC5"/>
    <w:rsid w:val="00676492"/>
    <w:rsid w:val="00682D27"/>
    <w:rsid w:val="00692C5C"/>
    <w:rsid w:val="00693A89"/>
    <w:rsid w:val="0069437E"/>
    <w:rsid w:val="006A11C7"/>
    <w:rsid w:val="006A6C92"/>
    <w:rsid w:val="006A793B"/>
    <w:rsid w:val="006B39A0"/>
    <w:rsid w:val="006C4DEF"/>
    <w:rsid w:val="006E38EC"/>
    <w:rsid w:val="006E3FAC"/>
    <w:rsid w:val="006E3FCB"/>
    <w:rsid w:val="006E4E15"/>
    <w:rsid w:val="006E6E11"/>
    <w:rsid w:val="006E77B3"/>
    <w:rsid w:val="006F190F"/>
    <w:rsid w:val="006F7F03"/>
    <w:rsid w:val="0070078E"/>
    <w:rsid w:val="00702A36"/>
    <w:rsid w:val="0070475C"/>
    <w:rsid w:val="007047E9"/>
    <w:rsid w:val="00707285"/>
    <w:rsid w:val="00711B09"/>
    <w:rsid w:val="007134FA"/>
    <w:rsid w:val="00714116"/>
    <w:rsid w:val="00715AFA"/>
    <w:rsid w:val="007171C0"/>
    <w:rsid w:val="007248F6"/>
    <w:rsid w:val="007249AD"/>
    <w:rsid w:val="00725B8F"/>
    <w:rsid w:val="00732341"/>
    <w:rsid w:val="0073443B"/>
    <w:rsid w:val="007354F4"/>
    <w:rsid w:val="00742C08"/>
    <w:rsid w:val="0075283E"/>
    <w:rsid w:val="00753AEF"/>
    <w:rsid w:val="00755822"/>
    <w:rsid w:val="0076249D"/>
    <w:rsid w:val="00771229"/>
    <w:rsid w:val="0077423A"/>
    <w:rsid w:val="00774E78"/>
    <w:rsid w:val="007778D4"/>
    <w:rsid w:val="007814A9"/>
    <w:rsid w:val="007A1F2C"/>
    <w:rsid w:val="007B30C4"/>
    <w:rsid w:val="007B3FF0"/>
    <w:rsid w:val="007C644B"/>
    <w:rsid w:val="007D7C03"/>
    <w:rsid w:val="007E2C33"/>
    <w:rsid w:val="007E38BA"/>
    <w:rsid w:val="007E5F88"/>
    <w:rsid w:val="008042E7"/>
    <w:rsid w:val="008145CA"/>
    <w:rsid w:val="00816A69"/>
    <w:rsid w:val="00816DF7"/>
    <w:rsid w:val="00816E08"/>
    <w:rsid w:val="008200EC"/>
    <w:rsid w:val="0082583F"/>
    <w:rsid w:val="00831FF3"/>
    <w:rsid w:val="008342FC"/>
    <w:rsid w:val="00837BCF"/>
    <w:rsid w:val="00845181"/>
    <w:rsid w:val="00861F2E"/>
    <w:rsid w:val="00864B5C"/>
    <w:rsid w:val="00872810"/>
    <w:rsid w:val="00872B5E"/>
    <w:rsid w:val="00876D84"/>
    <w:rsid w:val="0088180B"/>
    <w:rsid w:val="008836D3"/>
    <w:rsid w:val="0089683C"/>
    <w:rsid w:val="008A1244"/>
    <w:rsid w:val="008A1DAC"/>
    <w:rsid w:val="008B0992"/>
    <w:rsid w:val="008B1150"/>
    <w:rsid w:val="008B2B65"/>
    <w:rsid w:val="008B7DCA"/>
    <w:rsid w:val="008C093E"/>
    <w:rsid w:val="008C0B01"/>
    <w:rsid w:val="008C6690"/>
    <w:rsid w:val="008D1BB8"/>
    <w:rsid w:val="008D5630"/>
    <w:rsid w:val="008F70D3"/>
    <w:rsid w:val="0090265B"/>
    <w:rsid w:val="0091561D"/>
    <w:rsid w:val="00945ED2"/>
    <w:rsid w:val="00947B16"/>
    <w:rsid w:val="00953866"/>
    <w:rsid w:val="00962C01"/>
    <w:rsid w:val="009652D3"/>
    <w:rsid w:val="0096639C"/>
    <w:rsid w:val="00966ACF"/>
    <w:rsid w:val="00967333"/>
    <w:rsid w:val="00973634"/>
    <w:rsid w:val="009913B9"/>
    <w:rsid w:val="00992D54"/>
    <w:rsid w:val="00997308"/>
    <w:rsid w:val="009A6EA9"/>
    <w:rsid w:val="009B1483"/>
    <w:rsid w:val="009C2BE8"/>
    <w:rsid w:val="009C459A"/>
    <w:rsid w:val="009E0EAA"/>
    <w:rsid w:val="009E388D"/>
    <w:rsid w:val="009F162D"/>
    <w:rsid w:val="009F5A55"/>
    <w:rsid w:val="009F6E7F"/>
    <w:rsid w:val="009F7284"/>
    <w:rsid w:val="00A00347"/>
    <w:rsid w:val="00A053B8"/>
    <w:rsid w:val="00A14D9E"/>
    <w:rsid w:val="00A17C14"/>
    <w:rsid w:val="00A17C84"/>
    <w:rsid w:val="00A24F38"/>
    <w:rsid w:val="00A410D3"/>
    <w:rsid w:val="00A42896"/>
    <w:rsid w:val="00A46171"/>
    <w:rsid w:val="00A51CBA"/>
    <w:rsid w:val="00A546DC"/>
    <w:rsid w:val="00A6294F"/>
    <w:rsid w:val="00A63123"/>
    <w:rsid w:val="00A66AE8"/>
    <w:rsid w:val="00A671C2"/>
    <w:rsid w:val="00A71E86"/>
    <w:rsid w:val="00A75ADC"/>
    <w:rsid w:val="00A84FF6"/>
    <w:rsid w:val="00A919DA"/>
    <w:rsid w:val="00AA286A"/>
    <w:rsid w:val="00AA52A2"/>
    <w:rsid w:val="00AA5F47"/>
    <w:rsid w:val="00AB1C11"/>
    <w:rsid w:val="00AB3C29"/>
    <w:rsid w:val="00AB5564"/>
    <w:rsid w:val="00AC273C"/>
    <w:rsid w:val="00AD26A4"/>
    <w:rsid w:val="00AE26F0"/>
    <w:rsid w:val="00AF1AE9"/>
    <w:rsid w:val="00B02A97"/>
    <w:rsid w:val="00B1204A"/>
    <w:rsid w:val="00B15BEB"/>
    <w:rsid w:val="00B20214"/>
    <w:rsid w:val="00B20778"/>
    <w:rsid w:val="00B26EBD"/>
    <w:rsid w:val="00B3492A"/>
    <w:rsid w:val="00B3591B"/>
    <w:rsid w:val="00B3663B"/>
    <w:rsid w:val="00B37311"/>
    <w:rsid w:val="00B43D1C"/>
    <w:rsid w:val="00B53727"/>
    <w:rsid w:val="00B5380A"/>
    <w:rsid w:val="00B66967"/>
    <w:rsid w:val="00B7399C"/>
    <w:rsid w:val="00B84233"/>
    <w:rsid w:val="00B926CD"/>
    <w:rsid w:val="00B93A75"/>
    <w:rsid w:val="00B93F84"/>
    <w:rsid w:val="00BA2C5E"/>
    <w:rsid w:val="00BA4088"/>
    <w:rsid w:val="00BA45E4"/>
    <w:rsid w:val="00BB3ACC"/>
    <w:rsid w:val="00BC55D1"/>
    <w:rsid w:val="00BD2284"/>
    <w:rsid w:val="00BD4A31"/>
    <w:rsid w:val="00BE6C91"/>
    <w:rsid w:val="00BE7063"/>
    <w:rsid w:val="00BE766C"/>
    <w:rsid w:val="00BE7DC8"/>
    <w:rsid w:val="00BF2D59"/>
    <w:rsid w:val="00BF4E2F"/>
    <w:rsid w:val="00C14140"/>
    <w:rsid w:val="00C1537B"/>
    <w:rsid w:val="00C16030"/>
    <w:rsid w:val="00C30B1C"/>
    <w:rsid w:val="00C3622B"/>
    <w:rsid w:val="00C4246A"/>
    <w:rsid w:val="00C462E0"/>
    <w:rsid w:val="00C52FA3"/>
    <w:rsid w:val="00C53127"/>
    <w:rsid w:val="00C61DAA"/>
    <w:rsid w:val="00C755FA"/>
    <w:rsid w:val="00C8331A"/>
    <w:rsid w:val="00C91611"/>
    <w:rsid w:val="00C941E2"/>
    <w:rsid w:val="00C94A19"/>
    <w:rsid w:val="00C94ABB"/>
    <w:rsid w:val="00C96D9F"/>
    <w:rsid w:val="00CA2A38"/>
    <w:rsid w:val="00CA4361"/>
    <w:rsid w:val="00CA489F"/>
    <w:rsid w:val="00CA67FB"/>
    <w:rsid w:val="00CB1AA7"/>
    <w:rsid w:val="00CB30A7"/>
    <w:rsid w:val="00CB4415"/>
    <w:rsid w:val="00CC6BB8"/>
    <w:rsid w:val="00CF1DEC"/>
    <w:rsid w:val="00CF3AE0"/>
    <w:rsid w:val="00D03910"/>
    <w:rsid w:val="00D05EFC"/>
    <w:rsid w:val="00D06937"/>
    <w:rsid w:val="00D258A9"/>
    <w:rsid w:val="00D275C9"/>
    <w:rsid w:val="00D32765"/>
    <w:rsid w:val="00D341D0"/>
    <w:rsid w:val="00D477F9"/>
    <w:rsid w:val="00D50D77"/>
    <w:rsid w:val="00D530CA"/>
    <w:rsid w:val="00D60911"/>
    <w:rsid w:val="00D60DBE"/>
    <w:rsid w:val="00D648D0"/>
    <w:rsid w:val="00D65A43"/>
    <w:rsid w:val="00D67963"/>
    <w:rsid w:val="00D71674"/>
    <w:rsid w:val="00D7327A"/>
    <w:rsid w:val="00D7621F"/>
    <w:rsid w:val="00D807AA"/>
    <w:rsid w:val="00D832BF"/>
    <w:rsid w:val="00D85DD8"/>
    <w:rsid w:val="00D93187"/>
    <w:rsid w:val="00D93ED0"/>
    <w:rsid w:val="00DA1D33"/>
    <w:rsid w:val="00DA5980"/>
    <w:rsid w:val="00DA7580"/>
    <w:rsid w:val="00DB0C5E"/>
    <w:rsid w:val="00DB2786"/>
    <w:rsid w:val="00DB3DE3"/>
    <w:rsid w:val="00DB6D5C"/>
    <w:rsid w:val="00DC7E9F"/>
    <w:rsid w:val="00DD1DE1"/>
    <w:rsid w:val="00DD5722"/>
    <w:rsid w:val="00DE0B78"/>
    <w:rsid w:val="00DE0E7F"/>
    <w:rsid w:val="00DE1009"/>
    <w:rsid w:val="00DE31F8"/>
    <w:rsid w:val="00DF23D2"/>
    <w:rsid w:val="00E00F6D"/>
    <w:rsid w:val="00E03D2F"/>
    <w:rsid w:val="00E045DE"/>
    <w:rsid w:val="00E2466E"/>
    <w:rsid w:val="00E248DE"/>
    <w:rsid w:val="00E27638"/>
    <w:rsid w:val="00E31BFA"/>
    <w:rsid w:val="00E34BCE"/>
    <w:rsid w:val="00E3551B"/>
    <w:rsid w:val="00E359C0"/>
    <w:rsid w:val="00E366C6"/>
    <w:rsid w:val="00E442F1"/>
    <w:rsid w:val="00E73B8D"/>
    <w:rsid w:val="00E81E1E"/>
    <w:rsid w:val="00E86AFB"/>
    <w:rsid w:val="00E87F79"/>
    <w:rsid w:val="00E93E82"/>
    <w:rsid w:val="00E96183"/>
    <w:rsid w:val="00E97E4F"/>
    <w:rsid w:val="00EA0AA7"/>
    <w:rsid w:val="00EA5176"/>
    <w:rsid w:val="00EA6E4D"/>
    <w:rsid w:val="00EA7C0D"/>
    <w:rsid w:val="00EC1CA2"/>
    <w:rsid w:val="00EC2FFC"/>
    <w:rsid w:val="00ED0351"/>
    <w:rsid w:val="00ED720D"/>
    <w:rsid w:val="00EE41BD"/>
    <w:rsid w:val="00EE485F"/>
    <w:rsid w:val="00EE609A"/>
    <w:rsid w:val="00EF5C33"/>
    <w:rsid w:val="00EF61DF"/>
    <w:rsid w:val="00F06B85"/>
    <w:rsid w:val="00F07248"/>
    <w:rsid w:val="00F076F5"/>
    <w:rsid w:val="00F13568"/>
    <w:rsid w:val="00F24B79"/>
    <w:rsid w:val="00F24EEA"/>
    <w:rsid w:val="00F34389"/>
    <w:rsid w:val="00F34D89"/>
    <w:rsid w:val="00F37466"/>
    <w:rsid w:val="00F41257"/>
    <w:rsid w:val="00F42243"/>
    <w:rsid w:val="00F464A9"/>
    <w:rsid w:val="00F54A67"/>
    <w:rsid w:val="00F60698"/>
    <w:rsid w:val="00F6350B"/>
    <w:rsid w:val="00F66522"/>
    <w:rsid w:val="00F707E9"/>
    <w:rsid w:val="00F742B7"/>
    <w:rsid w:val="00F74DCF"/>
    <w:rsid w:val="00F7774D"/>
    <w:rsid w:val="00F8284F"/>
    <w:rsid w:val="00F84115"/>
    <w:rsid w:val="00F95ADA"/>
    <w:rsid w:val="00F96683"/>
    <w:rsid w:val="00FA0161"/>
    <w:rsid w:val="00FA19BB"/>
    <w:rsid w:val="00FB4391"/>
    <w:rsid w:val="00FB6D92"/>
    <w:rsid w:val="00FF330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Body Text" w:uiPriority="99"/>
    <w:lsdException w:name="List Continue" w:uiPriority="99"/>
    <w:lsdException w:name="Subtitle" w:qFormat="1"/>
    <w:lsdException w:name="Salutation"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6C6"/>
    <w:pPr>
      <w:spacing w:before="240" w:after="120" w:line="360" w:lineRule="auto"/>
      <w:jc w:val="both"/>
    </w:pPr>
    <w:rPr>
      <w:rFonts w:ascii="Verdana" w:hAnsi="Verdana"/>
      <w:szCs w:val="24"/>
    </w:rPr>
  </w:style>
  <w:style w:type="paragraph" w:styleId="Ttulo1">
    <w:name w:val="heading 1"/>
    <w:basedOn w:val="Normal"/>
    <w:next w:val="Normal"/>
    <w:qFormat/>
    <w:rsid w:val="002E1451"/>
    <w:pPr>
      <w:keepNext/>
      <w:numPr>
        <w:numId w:val="1"/>
      </w:numPr>
      <w:spacing w:after="60"/>
      <w:outlineLvl w:val="0"/>
    </w:pPr>
    <w:rPr>
      <w:rFonts w:ascii="Arial" w:hAnsi="Arial" w:cs="Arial"/>
      <w:b/>
      <w:bCs/>
      <w:kern w:val="32"/>
      <w:sz w:val="32"/>
      <w:szCs w:val="32"/>
    </w:rPr>
  </w:style>
  <w:style w:type="paragraph" w:styleId="Ttulo2">
    <w:name w:val="heading 2"/>
    <w:basedOn w:val="Normal"/>
    <w:next w:val="Normal"/>
    <w:qFormat/>
    <w:rsid w:val="002E1451"/>
    <w:pPr>
      <w:keepNext/>
      <w:numPr>
        <w:ilvl w:val="1"/>
        <w:numId w:val="1"/>
      </w:numPr>
      <w:spacing w:after="60"/>
      <w:outlineLvl w:val="1"/>
    </w:pPr>
    <w:rPr>
      <w:rFonts w:ascii="Arial" w:hAnsi="Arial" w:cs="Arial"/>
      <w:b/>
      <w:bCs/>
      <w:i/>
      <w:iCs/>
      <w:sz w:val="28"/>
      <w:szCs w:val="28"/>
    </w:rPr>
  </w:style>
  <w:style w:type="paragraph" w:styleId="Ttulo3">
    <w:name w:val="heading 3"/>
    <w:basedOn w:val="Normal"/>
    <w:next w:val="Normal"/>
    <w:qFormat/>
    <w:rsid w:val="00A75ADC"/>
    <w:pPr>
      <w:keepNext/>
      <w:numPr>
        <w:ilvl w:val="2"/>
        <w:numId w:val="1"/>
      </w:numPr>
      <w:spacing w:after="60"/>
      <w:outlineLvl w:val="2"/>
    </w:pPr>
    <w:rPr>
      <w:rFonts w:ascii="Arial" w:hAnsi="Arial" w:cs="Arial"/>
      <w:b/>
      <w:bCs/>
      <w:sz w:val="26"/>
      <w:szCs w:val="26"/>
    </w:rPr>
  </w:style>
  <w:style w:type="paragraph" w:styleId="Ttulo4">
    <w:name w:val="heading 4"/>
    <w:basedOn w:val="Normal"/>
    <w:next w:val="Normal"/>
    <w:qFormat/>
    <w:rsid w:val="00A75ADC"/>
    <w:pPr>
      <w:keepNext/>
      <w:numPr>
        <w:ilvl w:val="3"/>
        <w:numId w:val="1"/>
      </w:numPr>
      <w:spacing w:after="60"/>
      <w:outlineLvl w:val="3"/>
    </w:pPr>
    <w:rPr>
      <w:rFonts w:ascii="Times New Roman" w:hAnsi="Times New Roman"/>
      <w:b/>
      <w:bCs/>
      <w:sz w:val="28"/>
      <w:szCs w:val="28"/>
    </w:rPr>
  </w:style>
  <w:style w:type="paragraph" w:styleId="Ttulo5">
    <w:name w:val="heading 5"/>
    <w:basedOn w:val="Normal"/>
    <w:next w:val="Normal"/>
    <w:qFormat/>
    <w:rsid w:val="00A75ADC"/>
    <w:pPr>
      <w:numPr>
        <w:ilvl w:val="4"/>
        <w:numId w:val="1"/>
      </w:numPr>
      <w:spacing w:after="60"/>
      <w:outlineLvl w:val="4"/>
    </w:pPr>
    <w:rPr>
      <w:b/>
      <w:bCs/>
      <w:i/>
      <w:iCs/>
      <w:sz w:val="26"/>
      <w:szCs w:val="26"/>
    </w:rPr>
  </w:style>
  <w:style w:type="paragraph" w:styleId="Ttulo6">
    <w:name w:val="heading 6"/>
    <w:basedOn w:val="Normal"/>
    <w:next w:val="Normal"/>
    <w:qFormat/>
    <w:rsid w:val="00A75ADC"/>
    <w:pPr>
      <w:numPr>
        <w:ilvl w:val="5"/>
        <w:numId w:val="1"/>
      </w:numPr>
      <w:spacing w:after="60"/>
      <w:outlineLvl w:val="5"/>
    </w:pPr>
    <w:rPr>
      <w:rFonts w:ascii="Times New Roman" w:hAnsi="Times New Roman"/>
      <w:b/>
      <w:bCs/>
      <w:sz w:val="22"/>
      <w:szCs w:val="22"/>
    </w:rPr>
  </w:style>
  <w:style w:type="paragraph" w:styleId="Ttulo7">
    <w:name w:val="heading 7"/>
    <w:basedOn w:val="Normal"/>
    <w:next w:val="Normal"/>
    <w:qFormat/>
    <w:rsid w:val="00A75ADC"/>
    <w:pPr>
      <w:numPr>
        <w:ilvl w:val="6"/>
        <w:numId w:val="1"/>
      </w:numPr>
      <w:spacing w:after="60"/>
      <w:outlineLvl w:val="6"/>
    </w:pPr>
    <w:rPr>
      <w:rFonts w:ascii="Times New Roman" w:hAnsi="Times New Roman"/>
      <w:sz w:val="24"/>
    </w:rPr>
  </w:style>
  <w:style w:type="paragraph" w:styleId="Ttulo8">
    <w:name w:val="heading 8"/>
    <w:basedOn w:val="Normal"/>
    <w:next w:val="Normal"/>
    <w:qFormat/>
    <w:rsid w:val="00A75ADC"/>
    <w:pPr>
      <w:numPr>
        <w:ilvl w:val="7"/>
        <w:numId w:val="1"/>
      </w:numPr>
      <w:spacing w:after="60"/>
      <w:outlineLvl w:val="7"/>
    </w:pPr>
    <w:rPr>
      <w:rFonts w:ascii="Times New Roman" w:hAnsi="Times New Roman"/>
      <w:i/>
      <w:iCs/>
      <w:sz w:val="24"/>
    </w:rPr>
  </w:style>
  <w:style w:type="paragraph" w:styleId="Ttulo9">
    <w:name w:val="heading 9"/>
    <w:basedOn w:val="Normal"/>
    <w:next w:val="Normal"/>
    <w:qFormat/>
    <w:rsid w:val="00A75ADC"/>
    <w:pPr>
      <w:numPr>
        <w:ilvl w:val="8"/>
        <w:numId w:val="1"/>
      </w:numPr>
      <w:spacing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E366C6"/>
    <w:pPr>
      <w:spacing w:before="1800"/>
      <w:jc w:val="center"/>
    </w:pPr>
    <w:rPr>
      <w:b/>
    </w:rPr>
  </w:style>
  <w:style w:type="paragraph" w:styleId="Encabezado">
    <w:name w:val="header"/>
    <w:basedOn w:val="Normal"/>
    <w:rsid w:val="00E366C6"/>
    <w:pPr>
      <w:tabs>
        <w:tab w:val="center" w:pos="4252"/>
        <w:tab w:val="right" w:pos="8504"/>
      </w:tabs>
    </w:pPr>
  </w:style>
  <w:style w:type="paragraph" w:styleId="Piedepgina">
    <w:name w:val="footer"/>
    <w:basedOn w:val="Normal"/>
    <w:rsid w:val="00E366C6"/>
    <w:pPr>
      <w:tabs>
        <w:tab w:val="center" w:pos="4252"/>
        <w:tab w:val="right" w:pos="8504"/>
      </w:tabs>
    </w:pPr>
  </w:style>
  <w:style w:type="character" w:styleId="Nmerodepgina">
    <w:name w:val="page number"/>
    <w:basedOn w:val="Fuentedeprrafopredeter"/>
    <w:rsid w:val="000B554E"/>
  </w:style>
  <w:style w:type="paragraph" w:styleId="TDC1">
    <w:name w:val="toc 1"/>
    <w:basedOn w:val="Normal"/>
    <w:next w:val="Normal"/>
    <w:autoRedefine/>
    <w:semiHidden/>
    <w:rsid w:val="00715AFA"/>
  </w:style>
  <w:style w:type="paragraph" w:styleId="TDC2">
    <w:name w:val="toc 2"/>
    <w:basedOn w:val="Normal"/>
    <w:next w:val="Normal"/>
    <w:autoRedefine/>
    <w:semiHidden/>
    <w:rsid w:val="00715AFA"/>
    <w:pPr>
      <w:ind w:left="200"/>
    </w:pPr>
  </w:style>
  <w:style w:type="character" w:styleId="Hipervnculo">
    <w:name w:val="Hyperlink"/>
    <w:basedOn w:val="Fuentedeprrafopredeter"/>
    <w:rsid w:val="00715AFA"/>
    <w:rPr>
      <w:color w:val="0000FF"/>
      <w:u w:val="single"/>
    </w:rPr>
  </w:style>
  <w:style w:type="paragraph" w:styleId="Mapadeldocumento">
    <w:name w:val="Document Map"/>
    <w:basedOn w:val="Normal"/>
    <w:semiHidden/>
    <w:rsid w:val="001403CE"/>
    <w:pPr>
      <w:shd w:val="clear" w:color="auto" w:fill="000080"/>
    </w:pPr>
    <w:rPr>
      <w:rFonts w:ascii="Tahoma" w:hAnsi="Tahoma" w:cs="Tahoma"/>
      <w:szCs w:val="20"/>
    </w:rPr>
  </w:style>
  <w:style w:type="paragraph" w:styleId="Listaconvietas">
    <w:name w:val="List Bullet"/>
    <w:basedOn w:val="Normal"/>
    <w:link w:val="ListaconvietasCar"/>
    <w:rsid w:val="00081E70"/>
    <w:pPr>
      <w:numPr>
        <w:numId w:val="2"/>
      </w:numPr>
    </w:pPr>
  </w:style>
  <w:style w:type="character" w:customStyle="1" w:styleId="ListaconvietasCar">
    <w:name w:val="Lista con viñetas Car"/>
    <w:basedOn w:val="Fuentedeprrafopredeter"/>
    <w:link w:val="Listaconvietas"/>
    <w:rsid w:val="00081E70"/>
    <w:rPr>
      <w:rFonts w:ascii="Verdana" w:hAnsi="Verdana"/>
      <w:szCs w:val="24"/>
      <w:lang w:val="es-ES" w:eastAsia="es-ES" w:bidi="ar-SA"/>
    </w:rPr>
  </w:style>
  <w:style w:type="paragraph" w:styleId="Textodeglobo">
    <w:name w:val="Balloon Text"/>
    <w:basedOn w:val="Normal"/>
    <w:semiHidden/>
    <w:rsid w:val="00414359"/>
    <w:rPr>
      <w:rFonts w:ascii="Tahoma" w:hAnsi="Tahoma" w:cs="Tahoma"/>
      <w:sz w:val="16"/>
      <w:szCs w:val="16"/>
    </w:rPr>
  </w:style>
  <w:style w:type="character" w:customStyle="1" w:styleId="longtext">
    <w:name w:val="long_text"/>
    <w:basedOn w:val="Fuentedeprrafopredeter"/>
    <w:rsid w:val="00D275C9"/>
  </w:style>
  <w:style w:type="paragraph" w:customStyle="1" w:styleId="intro">
    <w:name w:val="intro"/>
    <w:basedOn w:val="Normal"/>
    <w:rsid w:val="006F7F03"/>
    <w:pPr>
      <w:spacing w:before="100" w:beforeAutospacing="1" w:after="100" w:afterAutospacing="1" w:line="240" w:lineRule="auto"/>
      <w:jc w:val="left"/>
    </w:pPr>
    <w:rPr>
      <w:rFonts w:ascii="Times New Roman" w:hAnsi="Times New Roman"/>
      <w:sz w:val="24"/>
    </w:rPr>
  </w:style>
  <w:style w:type="paragraph" w:styleId="NormalWeb">
    <w:name w:val="Normal (Web)"/>
    <w:basedOn w:val="Normal"/>
    <w:rsid w:val="006F7F03"/>
    <w:pPr>
      <w:spacing w:before="100" w:beforeAutospacing="1" w:after="100" w:afterAutospacing="1" w:line="240" w:lineRule="auto"/>
      <w:jc w:val="left"/>
    </w:pPr>
    <w:rPr>
      <w:rFonts w:ascii="Times New Roman" w:hAnsi="Times New Roman"/>
      <w:sz w:val="24"/>
    </w:rPr>
  </w:style>
  <w:style w:type="paragraph" w:customStyle="1" w:styleId="EstiloTtulo212pt">
    <w:name w:val="Estilo Título 2 + 12 pt"/>
    <w:basedOn w:val="Ttulo2"/>
    <w:rsid w:val="009F162D"/>
    <w:rPr>
      <w:sz w:val="24"/>
    </w:rPr>
  </w:style>
  <w:style w:type="paragraph" w:styleId="Sinespaciado">
    <w:name w:val="No Spacing"/>
    <w:uiPriority w:val="1"/>
    <w:qFormat/>
    <w:rsid w:val="001B4112"/>
    <w:rPr>
      <w:rFonts w:ascii="Calibri" w:eastAsia="Calibri" w:hAnsi="Calibri"/>
      <w:sz w:val="22"/>
      <w:szCs w:val="22"/>
      <w:lang w:eastAsia="en-US"/>
    </w:rPr>
  </w:style>
  <w:style w:type="character" w:styleId="Hipervnculovisitado">
    <w:name w:val="FollowedHyperlink"/>
    <w:basedOn w:val="Fuentedeprrafopredeter"/>
    <w:rsid w:val="008200EC"/>
    <w:rPr>
      <w:color w:val="800080"/>
      <w:u w:val="single"/>
    </w:rPr>
  </w:style>
  <w:style w:type="paragraph" w:styleId="Lista">
    <w:name w:val="List"/>
    <w:basedOn w:val="Normal"/>
    <w:uiPriority w:val="99"/>
    <w:unhideWhenUsed/>
    <w:rsid w:val="00B926CD"/>
    <w:pPr>
      <w:spacing w:before="0" w:after="200" w:line="276" w:lineRule="auto"/>
      <w:ind w:left="283" w:hanging="283"/>
      <w:contextualSpacing/>
      <w:jc w:val="left"/>
    </w:pPr>
    <w:rPr>
      <w:rFonts w:ascii="Calibri" w:eastAsia="Calibri" w:hAnsi="Calibri"/>
      <w:sz w:val="22"/>
      <w:szCs w:val="22"/>
      <w:lang w:eastAsia="en-US"/>
    </w:rPr>
  </w:style>
  <w:style w:type="paragraph" w:styleId="Saludo">
    <w:name w:val="Salutation"/>
    <w:basedOn w:val="Normal"/>
    <w:next w:val="Normal"/>
    <w:link w:val="SaludoCar"/>
    <w:uiPriority w:val="99"/>
    <w:unhideWhenUsed/>
    <w:rsid w:val="00B926CD"/>
    <w:pPr>
      <w:spacing w:before="0" w:after="200" w:line="276" w:lineRule="auto"/>
      <w:jc w:val="left"/>
    </w:pPr>
    <w:rPr>
      <w:rFonts w:ascii="Calibri" w:eastAsia="Calibri" w:hAnsi="Calibri"/>
      <w:sz w:val="22"/>
      <w:szCs w:val="22"/>
      <w:lang w:eastAsia="en-US"/>
    </w:rPr>
  </w:style>
  <w:style w:type="character" w:customStyle="1" w:styleId="SaludoCar">
    <w:name w:val="Saludo Car"/>
    <w:basedOn w:val="Fuentedeprrafopredeter"/>
    <w:link w:val="Saludo"/>
    <w:uiPriority w:val="99"/>
    <w:rsid w:val="00B926CD"/>
    <w:rPr>
      <w:rFonts w:ascii="Calibri" w:eastAsia="Calibri" w:hAnsi="Calibri" w:cs="Times New Roman"/>
      <w:sz w:val="22"/>
      <w:szCs w:val="22"/>
      <w:lang w:eastAsia="en-US"/>
    </w:rPr>
  </w:style>
  <w:style w:type="paragraph" w:styleId="Continuarlista">
    <w:name w:val="List Continue"/>
    <w:basedOn w:val="Normal"/>
    <w:uiPriority w:val="99"/>
    <w:unhideWhenUsed/>
    <w:rsid w:val="00B926CD"/>
    <w:pPr>
      <w:spacing w:before="0" w:line="276" w:lineRule="auto"/>
      <w:ind w:left="283"/>
      <w:contextualSpacing/>
      <w:jc w:val="left"/>
    </w:pPr>
    <w:rPr>
      <w:rFonts w:ascii="Calibri" w:eastAsia="Calibri" w:hAnsi="Calibri"/>
      <w:sz w:val="22"/>
      <w:szCs w:val="22"/>
      <w:lang w:eastAsia="en-US"/>
    </w:rPr>
  </w:style>
  <w:style w:type="paragraph" w:styleId="Textoindependiente">
    <w:name w:val="Body Text"/>
    <w:basedOn w:val="Normal"/>
    <w:link w:val="TextoindependienteCar"/>
    <w:uiPriority w:val="99"/>
    <w:unhideWhenUsed/>
    <w:rsid w:val="00B926CD"/>
    <w:pPr>
      <w:spacing w:before="0" w:line="276" w:lineRule="auto"/>
      <w:jc w:val="left"/>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B926CD"/>
    <w:rPr>
      <w:rFonts w:ascii="Calibri" w:eastAsia="Calibri" w:hAnsi="Calibri" w:cs="Times New Roman"/>
      <w:sz w:val="22"/>
      <w:szCs w:val="22"/>
      <w:lang w:eastAsia="en-US"/>
    </w:rPr>
  </w:style>
  <w:style w:type="table" w:styleId="Tablaconcuadrcula">
    <w:name w:val="Table Grid"/>
    <w:basedOn w:val="Tablanormal"/>
    <w:rsid w:val="00492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141163">
      <w:bodyDiv w:val="1"/>
      <w:marLeft w:val="0"/>
      <w:marRight w:val="0"/>
      <w:marTop w:val="0"/>
      <w:marBottom w:val="0"/>
      <w:divBdr>
        <w:top w:val="none" w:sz="0" w:space="0" w:color="auto"/>
        <w:left w:val="none" w:sz="0" w:space="0" w:color="auto"/>
        <w:bottom w:val="none" w:sz="0" w:space="0" w:color="auto"/>
        <w:right w:val="none" w:sz="0" w:space="0" w:color="auto"/>
      </w:divBdr>
    </w:div>
    <w:div w:id="160318298">
      <w:bodyDiv w:val="1"/>
      <w:marLeft w:val="0"/>
      <w:marRight w:val="0"/>
      <w:marTop w:val="0"/>
      <w:marBottom w:val="0"/>
      <w:divBdr>
        <w:top w:val="none" w:sz="0" w:space="0" w:color="auto"/>
        <w:left w:val="none" w:sz="0" w:space="0" w:color="auto"/>
        <w:bottom w:val="none" w:sz="0" w:space="0" w:color="auto"/>
        <w:right w:val="none" w:sz="0" w:space="0" w:color="auto"/>
      </w:divBdr>
      <w:divsChild>
        <w:div w:id="822895199">
          <w:marLeft w:val="0"/>
          <w:marRight w:val="0"/>
          <w:marTop w:val="0"/>
          <w:marBottom w:val="0"/>
          <w:divBdr>
            <w:top w:val="single" w:sz="6" w:space="9" w:color="666666"/>
            <w:left w:val="single" w:sz="6" w:space="4" w:color="666666"/>
            <w:bottom w:val="single" w:sz="6" w:space="9" w:color="666666"/>
            <w:right w:val="single" w:sz="6" w:space="4" w:color="666666"/>
          </w:divBdr>
          <w:divsChild>
            <w:div w:id="1541354321">
              <w:marLeft w:val="0"/>
              <w:marRight w:val="0"/>
              <w:marTop w:val="0"/>
              <w:marBottom w:val="0"/>
              <w:divBdr>
                <w:top w:val="none" w:sz="0" w:space="0" w:color="auto"/>
                <w:left w:val="none" w:sz="0" w:space="0" w:color="auto"/>
                <w:bottom w:val="none" w:sz="0" w:space="0" w:color="auto"/>
                <w:right w:val="single" w:sz="6" w:space="9" w:color="666666"/>
              </w:divBdr>
              <w:divsChild>
                <w:div w:id="65959146">
                  <w:marLeft w:val="0"/>
                  <w:marRight w:val="0"/>
                  <w:marTop w:val="0"/>
                  <w:marBottom w:val="0"/>
                  <w:divBdr>
                    <w:top w:val="single" w:sz="2" w:space="0" w:color="000000"/>
                    <w:left w:val="single" w:sz="2" w:space="0" w:color="000000"/>
                    <w:bottom w:val="single" w:sz="2" w:space="0" w:color="000000"/>
                    <w:right w:val="single" w:sz="2" w:space="0" w:color="000000"/>
                  </w:divBdr>
                  <w:divsChild>
                    <w:div w:id="1736078948">
                      <w:marLeft w:val="0"/>
                      <w:marRight w:val="0"/>
                      <w:marTop w:val="0"/>
                      <w:marBottom w:val="35"/>
                      <w:divBdr>
                        <w:top w:val="none" w:sz="0" w:space="0" w:color="auto"/>
                        <w:left w:val="none" w:sz="0" w:space="0" w:color="auto"/>
                        <w:bottom w:val="none" w:sz="0" w:space="0" w:color="auto"/>
                        <w:right w:val="none" w:sz="0" w:space="0" w:color="auto"/>
                      </w:divBdr>
                    </w:div>
                  </w:divsChild>
                </w:div>
              </w:divsChild>
            </w:div>
          </w:divsChild>
        </w:div>
      </w:divsChild>
    </w:div>
    <w:div w:id="246889021">
      <w:bodyDiv w:val="1"/>
      <w:marLeft w:val="0"/>
      <w:marRight w:val="0"/>
      <w:marTop w:val="0"/>
      <w:marBottom w:val="0"/>
      <w:divBdr>
        <w:top w:val="none" w:sz="0" w:space="0" w:color="auto"/>
        <w:left w:val="none" w:sz="0" w:space="0" w:color="auto"/>
        <w:bottom w:val="none" w:sz="0" w:space="0" w:color="auto"/>
        <w:right w:val="none" w:sz="0" w:space="0" w:color="auto"/>
      </w:divBdr>
    </w:div>
    <w:div w:id="248660149">
      <w:bodyDiv w:val="1"/>
      <w:marLeft w:val="0"/>
      <w:marRight w:val="0"/>
      <w:marTop w:val="0"/>
      <w:marBottom w:val="0"/>
      <w:divBdr>
        <w:top w:val="none" w:sz="0" w:space="0" w:color="auto"/>
        <w:left w:val="none" w:sz="0" w:space="0" w:color="auto"/>
        <w:bottom w:val="none" w:sz="0" w:space="0" w:color="auto"/>
        <w:right w:val="none" w:sz="0" w:space="0" w:color="auto"/>
      </w:divBdr>
    </w:div>
    <w:div w:id="310602761">
      <w:bodyDiv w:val="1"/>
      <w:marLeft w:val="0"/>
      <w:marRight w:val="0"/>
      <w:marTop w:val="0"/>
      <w:marBottom w:val="0"/>
      <w:divBdr>
        <w:top w:val="none" w:sz="0" w:space="0" w:color="auto"/>
        <w:left w:val="none" w:sz="0" w:space="0" w:color="auto"/>
        <w:bottom w:val="none" w:sz="0" w:space="0" w:color="auto"/>
        <w:right w:val="none" w:sz="0" w:space="0" w:color="auto"/>
      </w:divBdr>
    </w:div>
    <w:div w:id="394936903">
      <w:bodyDiv w:val="1"/>
      <w:marLeft w:val="0"/>
      <w:marRight w:val="0"/>
      <w:marTop w:val="0"/>
      <w:marBottom w:val="0"/>
      <w:divBdr>
        <w:top w:val="none" w:sz="0" w:space="0" w:color="auto"/>
        <w:left w:val="none" w:sz="0" w:space="0" w:color="auto"/>
        <w:bottom w:val="none" w:sz="0" w:space="0" w:color="auto"/>
        <w:right w:val="none" w:sz="0" w:space="0" w:color="auto"/>
      </w:divBdr>
    </w:div>
    <w:div w:id="522940363">
      <w:bodyDiv w:val="1"/>
      <w:marLeft w:val="0"/>
      <w:marRight w:val="0"/>
      <w:marTop w:val="0"/>
      <w:marBottom w:val="0"/>
      <w:divBdr>
        <w:top w:val="none" w:sz="0" w:space="0" w:color="auto"/>
        <w:left w:val="none" w:sz="0" w:space="0" w:color="auto"/>
        <w:bottom w:val="none" w:sz="0" w:space="0" w:color="auto"/>
        <w:right w:val="none" w:sz="0" w:space="0" w:color="auto"/>
      </w:divBdr>
    </w:div>
    <w:div w:id="553472225">
      <w:bodyDiv w:val="1"/>
      <w:marLeft w:val="0"/>
      <w:marRight w:val="0"/>
      <w:marTop w:val="0"/>
      <w:marBottom w:val="0"/>
      <w:divBdr>
        <w:top w:val="none" w:sz="0" w:space="0" w:color="auto"/>
        <w:left w:val="none" w:sz="0" w:space="0" w:color="auto"/>
        <w:bottom w:val="none" w:sz="0" w:space="0" w:color="auto"/>
        <w:right w:val="none" w:sz="0" w:space="0" w:color="auto"/>
      </w:divBdr>
      <w:divsChild>
        <w:div w:id="1101992345">
          <w:marLeft w:val="432"/>
          <w:marRight w:val="0"/>
          <w:marTop w:val="192"/>
          <w:marBottom w:val="0"/>
          <w:divBdr>
            <w:top w:val="none" w:sz="0" w:space="0" w:color="auto"/>
            <w:left w:val="none" w:sz="0" w:space="0" w:color="auto"/>
            <w:bottom w:val="none" w:sz="0" w:space="0" w:color="auto"/>
            <w:right w:val="none" w:sz="0" w:space="0" w:color="auto"/>
          </w:divBdr>
        </w:div>
      </w:divsChild>
    </w:div>
    <w:div w:id="783887306">
      <w:bodyDiv w:val="1"/>
      <w:marLeft w:val="0"/>
      <w:marRight w:val="0"/>
      <w:marTop w:val="0"/>
      <w:marBottom w:val="0"/>
      <w:divBdr>
        <w:top w:val="none" w:sz="0" w:space="0" w:color="auto"/>
        <w:left w:val="none" w:sz="0" w:space="0" w:color="auto"/>
        <w:bottom w:val="none" w:sz="0" w:space="0" w:color="auto"/>
        <w:right w:val="none" w:sz="0" w:space="0" w:color="auto"/>
      </w:divBdr>
    </w:div>
    <w:div w:id="794569498">
      <w:bodyDiv w:val="1"/>
      <w:marLeft w:val="0"/>
      <w:marRight w:val="0"/>
      <w:marTop w:val="0"/>
      <w:marBottom w:val="0"/>
      <w:divBdr>
        <w:top w:val="none" w:sz="0" w:space="0" w:color="auto"/>
        <w:left w:val="none" w:sz="0" w:space="0" w:color="auto"/>
        <w:bottom w:val="none" w:sz="0" w:space="0" w:color="auto"/>
        <w:right w:val="none" w:sz="0" w:space="0" w:color="auto"/>
      </w:divBdr>
    </w:div>
    <w:div w:id="879321282">
      <w:bodyDiv w:val="1"/>
      <w:marLeft w:val="0"/>
      <w:marRight w:val="0"/>
      <w:marTop w:val="0"/>
      <w:marBottom w:val="0"/>
      <w:divBdr>
        <w:top w:val="none" w:sz="0" w:space="0" w:color="auto"/>
        <w:left w:val="none" w:sz="0" w:space="0" w:color="auto"/>
        <w:bottom w:val="none" w:sz="0" w:space="0" w:color="auto"/>
        <w:right w:val="none" w:sz="0" w:space="0" w:color="auto"/>
      </w:divBdr>
      <w:divsChild>
        <w:div w:id="260383251">
          <w:marLeft w:val="0"/>
          <w:marRight w:val="0"/>
          <w:marTop w:val="0"/>
          <w:marBottom w:val="0"/>
          <w:divBdr>
            <w:top w:val="none" w:sz="0" w:space="0" w:color="auto"/>
            <w:left w:val="none" w:sz="0" w:space="0" w:color="auto"/>
            <w:bottom w:val="none" w:sz="0" w:space="0" w:color="auto"/>
            <w:right w:val="none" w:sz="0" w:space="0" w:color="auto"/>
          </w:divBdr>
          <w:divsChild>
            <w:div w:id="6522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6326">
      <w:bodyDiv w:val="1"/>
      <w:marLeft w:val="0"/>
      <w:marRight w:val="0"/>
      <w:marTop w:val="0"/>
      <w:marBottom w:val="0"/>
      <w:divBdr>
        <w:top w:val="none" w:sz="0" w:space="0" w:color="auto"/>
        <w:left w:val="none" w:sz="0" w:space="0" w:color="auto"/>
        <w:bottom w:val="none" w:sz="0" w:space="0" w:color="auto"/>
        <w:right w:val="none" w:sz="0" w:space="0" w:color="auto"/>
      </w:divBdr>
    </w:div>
    <w:div w:id="976184549">
      <w:bodyDiv w:val="1"/>
      <w:marLeft w:val="0"/>
      <w:marRight w:val="0"/>
      <w:marTop w:val="0"/>
      <w:marBottom w:val="0"/>
      <w:divBdr>
        <w:top w:val="none" w:sz="0" w:space="0" w:color="auto"/>
        <w:left w:val="none" w:sz="0" w:space="0" w:color="auto"/>
        <w:bottom w:val="none" w:sz="0" w:space="0" w:color="auto"/>
        <w:right w:val="none" w:sz="0" w:space="0" w:color="auto"/>
      </w:divBdr>
    </w:div>
    <w:div w:id="993724958">
      <w:bodyDiv w:val="1"/>
      <w:marLeft w:val="0"/>
      <w:marRight w:val="0"/>
      <w:marTop w:val="0"/>
      <w:marBottom w:val="0"/>
      <w:divBdr>
        <w:top w:val="none" w:sz="0" w:space="0" w:color="auto"/>
        <w:left w:val="none" w:sz="0" w:space="0" w:color="auto"/>
        <w:bottom w:val="none" w:sz="0" w:space="0" w:color="auto"/>
        <w:right w:val="none" w:sz="0" w:space="0" w:color="auto"/>
      </w:divBdr>
    </w:div>
    <w:div w:id="1124539370">
      <w:bodyDiv w:val="1"/>
      <w:marLeft w:val="0"/>
      <w:marRight w:val="0"/>
      <w:marTop w:val="0"/>
      <w:marBottom w:val="0"/>
      <w:divBdr>
        <w:top w:val="none" w:sz="0" w:space="0" w:color="auto"/>
        <w:left w:val="none" w:sz="0" w:space="0" w:color="auto"/>
        <w:bottom w:val="none" w:sz="0" w:space="0" w:color="auto"/>
        <w:right w:val="none" w:sz="0" w:space="0" w:color="auto"/>
      </w:divBdr>
    </w:div>
    <w:div w:id="1170021451">
      <w:bodyDiv w:val="1"/>
      <w:marLeft w:val="0"/>
      <w:marRight w:val="0"/>
      <w:marTop w:val="0"/>
      <w:marBottom w:val="0"/>
      <w:divBdr>
        <w:top w:val="none" w:sz="0" w:space="0" w:color="auto"/>
        <w:left w:val="none" w:sz="0" w:space="0" w:color="auto"/>
        <w:bottom w:val="none" w:sz="0" w:space="0" w:color="auto"/>
        <w:right w:val="none" w:sz="0" w:space="0" w:color="auto"/>
      </w:divBdr>
    </w:div>
    <w:div w:id="1470440982">
      <w:bodyDiv w:val="1"/>
      <w:marLeft w:val="0"/>
      <w:marRight w:val="0"/>
      <w:marTop w:val="0"/>
      <w:marBottom w:val="0"/>
      <w:divBdr>
        <w:top w:val="none" w:sz="0" w:space="0" w:color="auto"/>
        <w:left w:val="none" w:sz="0" w:space="0" w:color="auto"/>
        <w:bottom w:val="none" w:sz="0" w:space="0" w:color="auto"/>
        <w:right w:val="none" w:sz="0" w:space="0" w:color="auto"/>
      </w:divBdr>
    </w:div>
    <w:div w:id="1699238985">
      <w:bodyDiv w:val="1"/>
      <w:marLeft w:val="0"/>
      <w:marRight w:val="0"/>
      <w:marTop w:val="0"/>
      <w:marBottom w:val="0"/>
      <w:divBdr>
        <w:top w:val="none" w:sz="0" w:space="0" w:color="auto"/>
        <w:left w:val="none" w:sz="0" w:space="0" w:color="auto"/>
        <w:bottom w:val="none" w:sz="0" w:space="0" w:color="auto"/>
        <w:right w:val="none" w:sz="0" w:space="0" w:color="auto"/>
      </w:divBdr>
    </w:div>
    <w:div w:id="1886019063">
      <w:bodyDiv w:val="1"/>
      <w:marLeft w:val="0"/>
      <w:marRight w:val="0"/>
      <w:marTop w:val="0"/>
      <w:marBottom w:val="0"/>
      <w:divBdr>
        <w:top w:val="none" w:sz="0" w:space="0" w:color="auto"/>
        <w:left w:val="none" w:sz="0" w:space="0" w:color="auto"/>
        <w:bottom w:val="none" w:sz="0" w:space="0" w:color="auto"/>
        <w:right w:val="none" w:sz="0" w:space="0" w:color="auto"/>
      </w:divBdr>
    </w:div>
    <w:div w:id="1999141940">
      <w:bodyDiv w:val="1"/>
      <w:marLeft w:val="0"/>
      <w:marRight w:val="0"/>
      <w:marTop w:val="0"/>
      <w:marBottom w:val="0"/>
      <w:divBdr>
        <w:top w:val="none" w:sz="0" w:space="0" w:color="auto"/>
        <w:left w:val="none" w:sz="0" w:space="0" w:color="auto"/>
        <w:bottom w:val="none" w:sz="0" w:space="0" w:color="auto"/>
        <w:right w:val="none" w:sz="0" w:space="0" w:color="auto"/>
      </w:divBdr>
    </w:div>
    <w:div w:id="2002615138">
      <w:bodyDiv w:val="1"/>
      <w:marLeft w:val="0"/>
      <w:marRight w:val="0"/>
      <w:marTop w:val="0"/>
      <w:marBottom w:val="0"/>
      <w:divBdr>
        <w:top w:val="none" w:sz="0" w:space="0" w:color="auto"/>
        <w:left w:val="none" w:sz="0" w:space="0" w:color="auto"/>
        <w:bottom w:val="none" w:sz="0" w:space="0" w:color="auto"/>
        <w:right w:val="none" w:sz="0" w:space="0" w:color="auto"/>
      </w:divBdr>
    </w:div>
    <w:div w:id="2049329339">
      <w:bodyDiv w:val="1"/>
      <w:marLeft w:val="0"/>
      <w:marRight w:val="0"/>
      <w:marTop w:val="0"/>
      <w:marBottom w:val="0"/>
      <w:divBdr>
        <w:top w:val="none" w:sz="0" w:space="0" w:color="auto"/>
        <w:left w:val="none" w:sz="0" w:space="0" w:color="auto"/>
        <w:bottom w:val="none" w:sz="0" w:space="0" w:color="auto"/>
        <w:right w:val="none" w:sz="0" w:space="0" w:color="auto"/>
      </w:divBdr>
    </w:div>
    <w:div w:id="20988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5</Pages>
  <Words>1115</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TGS</Company>
  <LinksUpToDate>false</LinksUpToDate>
  <CharactersWithSpaces>7234</CharactersWithSpaces>
  <SharedDoc>false</SharedDoc>
  <HLinks>
    <vt:vector size="6" baseType="variant">
      <vt:variant>
        <vt:i4>1704031</vt:i4>
      </vt:variant>
      <vt:variant>
        <vt:i4>0</vt:i4>
      </vt:variant>
      <vt:variant>
        <vt:i4>0</vt:i4>
      </vt:variant>
      <vt:variant>
        <vt:i4>5</vt:i4>
      </vt:variant>
      <vt:variant>
        <vt:lpwstr>http://www.juegosonce.es/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dc:creator>
  <cp:lastModifiedBy>Gómez Rodríguez, Miguel Angel</cp:lastModifiedBy>
  <cp:revision>29</cp:revision>
  <dcterms:created xsi:type="dcterms:W3CDTF">2016-05-10T14:23:00Z</dcterms:created>
  <dcterms:modified xsi:type="dcterms:W3CDTF">2016-10-27T15:54:00Z</dcterms:modified>
</cp:coreProperties>
</file>